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1"/>
        <w:ind w:left="1325" w:right="1882"/>
        <w:jc w:val="center"/>
        <w:rPr>
          <w:b/>
          <w:sz w:val="32"/>
        </w:rPr>
      </w:pPr>
      <w:bookmarkStart w:id="0" w:name="江苏联合职业技术学院镇江分院动漫制作技术专业实施性人才培养方案（2021级）"/>
      <w:bookmarkEnd w:id="0"/>
      <w:r>
        <w:rPr>
          <w:b/>
          <w:sz w:val="32"/>
        </w:rPr>
        <w:t>江苏联合职业技术学院</w:t>
      </w:r>
      <w:r>
        <w:rPr>
          <w:rFonts w:hint="eastAsia"/>
          <w:b/>
          <w:sz w:val="32"/>
        </w:rPr>
        <w:t>常州艺术</w:t>
      </w:r>
      <w:r>
        <w:rPr>
          <w:b/>
          <w:sz w:val="32"/>
        </w:rPr>
        <w:t>分院</w:t>
      </w:r>
    </w:p>
    <w:p>
      <w:pPr>
        <w:spacing w:before="6"/>
        <w:ind w:left="1325" w:right="1885"/>
        <w:jc w:val="center"/>
        <w:rPr>
          <w:b/>
          <w:sz w:val="32"/>
        </w:rPr>
      </w:pPr>
      <w:r>
        <w:rPr>
          <w:rFonts w:hint="eastAsia"/>
          <w:b/>
          <w:sz w:val="32"/>
        </w:rPr>
        <w:t>202</w:t>
      </w:r>
      <w:r>
        <w:rPr>
          <w:rFonts w:hint="eastAsia"/>
          <w:b/>
          <w:sz w:val="32"/>
          <w:lang w:val="en-US" w:eastAsia="zh-CN"/>
        </w:rPr>
        <w:t>1</w:t>
      </w:r>
      <w:r>
        <w:rPr>
          <w:rFonts w:hint="eastAsia"/>
          <w:b/>
          <w:sz w:val="32"/>
        </w:rPr>
        <w:t>级播音与主持</w:t>
      </w:r>
      <w:r>
        <w:rPr>
          <w:b/>
          <w:sz w:val="32"/>
        </w:rPr>
        <w:t>专业实施性人才培养方案</w:t>
      </w:r>
    </w:p>
    <w:p>
      <w:pPr>
        <w:pStyle w:val="2"/>
      </w:pPr>
    </w:p>
    <w:p>
      <w:pPr>
        <w:pStyle w:val="2"/>
        <w:ind w:left="0" w:firstLine="422" w:firstLineChars="200"/>
      </w:pPr>
      <w:r>
        <w:t>一、专业名称及代码</w:t>
      </w:r>
    </w:p>
    <w:p>
      <w:pPr>
        <w:pStyle w:val="4"/>
        <w:spacing w:before="91" w:line="321" w:lineRule="auto"/>
        <w:ind w:right="6964"/>
      </w:pPr>
      <w:r>
        <w:t>专业名称：</w:t>
      </w:r>
      <w:r>
        <w:rPr>
          <w:rFonts w:hint="eastAsia"/>
        </w:rPr>
        <w:t>播音与主持</w:t>
      </w:r>
    </w:p>
    <w:p>
      <w:pPr>
        <w:pStyle w:val="4"/>
        <w:spacing w:before="91" w:line="321" w:lineRule="auto"/>
        <w:ind w:right="6964"/>
      </w:pPr>
      <w:r>
        <w:t>专业代码：</w:t>
      </w:r>
      <w:r>
        <w:rPr>
          <w:rFonts w:hint="eastAsia"/>
        </w:rPr>
        <w:t>560201</w:t>
      </w:r>
    </w:p>
    <w:p>
      <w:pPr>
        <w:spacing w:line="321" w:lineRule="auto"/>
        <w:ind w:right="7824" w:firstLine="422" w:firstLineChars="200"/>
        <w:rPr>
          <w:b/>
          <w:sz w:val="21"/>
        </w:rPr>
      </w:pPr>
      <w:r>
        <w:rPr>
          <w:b/>
          <w:sz w:val="21"/>
        </w:rPr>
        <w:t>二、入学要求</w:t>
      </w:r>
    </w:p>
    <w:p>
      <w:pPr>
        <w:spacing w:line="321" w:lineRule="auto"/>
        <w:ind w:right="7824" w:firstLine="420" w:firstLineChars="200"/>
        <w:rPr>
          <w:sz w:val="21"/>
        </w:rPr>
      </w:pPr>
      <w:r>
        <w:rPr>
          <w:sz w:val="21"/>
        </w:rPr>
        <w:t>初中应届毕业生</w:t>
      </w:r>
    </w:p>
    <w:p>
      <w:pPr>
        <w:numPr>
          <w:ilvl w:val="0"/>
          <w:numId w:val="1"/>
        </w:numPr>
        <w:spacing w:line="321" w:lineRule="auto"/>
        <w:ind w:right="7824" w:firstLine="422" w:firstLineChars="200"/>
        <w:rPr>
          <w:b/>
          <w:sz w:val="21"/>
        </w:rPr>
      </w:pPr>
      <w:r>
        <w:rPr>
          <w:b/>
          <w:sz w:val="21"/>
        </w:rPr>
        <w:t xml:space="preserve">修业年限 </w:t>
      </w:r>
    </w:p>
    <w:p>
      <w:pPr>
        <w:spacing w:line="321" w:lineRule="auto"/>
        <w:ind w:right="7824" w:firstLine="420" w:firstLineChars="200"/>
        <w:rPr>
          <w:sz w:val="21"/>
        </w:rPr>
      </w:pPr>
      <w:r>
        <w:rPr>
          <w:sz w:val="21"/>
        </w:rPr>
        <w:t>5 年</w:t>
      </w:r>
    </w:p>
    <w:p>
      <w:pPr>
        <w:pStyle w:val="2"/>
        <w:spacing w:after="12" w:line="267" w:lineRule="exact"/>
        <w:ind w:left="0" w:firstLine="422" w:firstLineChars="200"/>
        <w:rPr>
          <w:rFonts w:cs="Times New Roman"/>
          <w:color w:val="000000"/>
          <w:kern w:val="2"/>
        </w:rPr>
      </w:pPr>
      <w:r>
        <w:rPr>
          <w:rFonts w:cs="Times New Roman"/>
          <w:color w:val="000000"/>
          <w:kern w:val="2"/>
        </w:rPr>
        <w:t>四、职业面向</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1416"/>
        <w:gridCol w:w="1418"/>
        <w:gridCol w:w="1809"/>
        <w:gridCol w:w="1735"/>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1526" w:type="dxa"/>
          </w:tcPr>
          <w:p>
            <w:pPr>
              <w:pStyle w:val="15"/>
              <w:spacing w:before="78"/>
              <w:ind w:left="110" w:right="100"/>
              <w:jc w:val="center"/>
              <w:rPr>
                <w:b/>
                <w:sz w:val="21"/>
              </w:rPr>
            </w:pPr>
            <w:r>
              <w:rPr>
                <w:b/>
                <w:sz w:val="21"/>
              </w:rPr>
              <w:t>所属专业大类</w:t>
            </w:r>
          </w:p>
          <w:p>
            <w:pPr>
              <w:pStyle w:val="15"/>
              <w:spacing w:before="90" w:line="262" w:lineRule="exact"/>
              <w:ind w:left="110" w:right="100"/>
              <w:jc w:val="center"/>
              <w:rPr>
                <w:b/>
                <w:sz w:val="21"/>
              </w:rPr>
            </w:pPr>
            <w:r>
              <w:rPr>
                <w:b/>
                <w:sz w:val="21"/>
              </w:rPr>
              <w:t>（代码）</w:t>
            </w:r>
          </w:p>
        </w:tc>
        <w:tc>
          <w:tcPr>
            <w:tcW w:w="1416" w:type="dxa"/>
          </w:tcPr>
          <w:p>
            <w:pPr>
              <w:pStyle w:val="15"/>
              <w:spacing w:before="78"/>
              <w:ind w:left="180"/>
              <w:rPr>
                <w:b/>
                <w:sz w:val="21"/>
              </w:rPr>
            </w:pPr>
            <w:r>
              <w:rPr>
                <w:b/>
                <w:sz w:val="21"/>
              </w:rPr>
              <w:t>所属专业类</w:t>
            </w:r>
          </w:p>
          <w:p>
            <w:pPr>
              <w:pStyle w:val="15"/>
              <w:spacing w:before="90" w:line="262" w:lineRule="exact"/>
              <w:ind w:left="285"/>
              <w:rPr>
                <w:b/>
                <w:sz w:val="21"/>
              </w:rPr>
            </w:pPr>
            <w:r>
              <w:rPr>
                <w:b/>
                <w:sz w:val="21"/>
              </w:rPr>
              <w:t>（代码）</w:t>
            </w:r>
          </w:p>
        </w:tc>
        <w:tc>
          <w:tcPr>
            <w:tcW w:w="1418" w:type="dxa"/>
          </w:tcPr>
          <w:p>
            <w:pPr>
              <w:pStyle w:val="15"/>
              <w:spacing w:before="78"/>
              <w:ind w:left="288"/>
              <w:rPr>
                <w:b/>
                <w:sz w:val="21"/>
              </w:rPr>
            </w:pPr>
            <w:r>
              <w:rPr>
                <w:b/>
                <w:sz w:val="21"/>
              </w:rPr>
              <w:t>对应行业</w:t>
            </w:r>
          </w:p>
          <w:p>
            <w:pPr>
              <w:pStyle w:val="15"/>
              <w:spacing w:before="90" w:line="262" w:lineRule="exact"/>
              <w:ind w:left="288"/>
              <w:rPr>
                <w:b/>
                <w:sz w:val="21"/>
              </w:rPr>
            </w:pPr>
            <w:r>
              <w:rPr>
                <w:b/>
                <w:sz w:val="21"/>
              </w:rPr>
              <w:t>（代码）</w:t>
            </w:r>
          </w:p>
        </w:tc>
        <w:tc>
          <w:tcPr>
            <w:tcW w:w="1809" w:type="dxa"/>
          </w:tcPr>
          <w:p>
            <w:pPr>
              <w:pStyle w:val="15"/>
              <w:spacing w:before="78"/>
              <w:ind w:left="165" w:right="154"/>
              <w:jc w:val="center"/>
              <w:rPr>
                <w:b/>
                <w:sz w:val="21"/>
              </w:rPr>
            </w:pPr>
            <w:r>
              <w:rPr>
                <w:b/>
                <w:sz w:val="21"/>
              </w:rPr>
              <w:t>主要职业类别</w:t>
            </w:r>
          </w:p>
          <w:p>
            <w:pPr>
              <w:pStyle w:val="15"/>
              <w:spacing w:before="90" w:line="262" w:lineRule="exact"/>
              <w:ind w:left="165" w:right="154"/>
              <w:jc w:val="center"/>
              <w:rPr>
                <w:b/>
                <w:sz w:val="21"/>
              </w:rPr>
            </w:pPr>
            <w:r>
              <w:rPr>
                <w:b/>
                <w:sz w:val="21"/>
              </w:rPr>
              <w:t>(代码）</w:t>
            </w:r>
          </w:p>
        </w:tc>
        <w:tc>
          <w:tcPr>
            <w:tcW w:w="1735" w:type="dxa"/>
          </w:tcPr>
          <w:p>
            <w:pPr>
              <w:pStyle w:val="15"/>
              <w:spacing w:line="360" w:lineRule="exact"/>
              <w:ind w:left="445" w:right="221" w:hanging="212"/>
              <w:rPr>
                <w:b/>
                <w:sz w:val="21"/>
              </w:rPr>
            </w:pPr>
            <w:r>
              <w:rPr>
                <w:b/>
                <w:sz w:val="21"/>
              </w:rPr>
              <w:t>主要岗位群或技术领域</w:t>
            </w:r>
          </w:p>
        </w:tc>
        <w:tc>
          <w:tcPr>
            <w:tcW w:w="1841" w:type="dxa"/>
          </w:tcPr>
          <w:p>
            <w:pPr>
              <w:pStyle w:val="15"/>
              <w:spacing w:line="360" w:lineRule="exact"/>
              <w:ind w:left="289" w:right="166" w:hanging="106"/>
              <w:rPr>
                <w:b/>
                <w:sz w:val="21"/>
              </w:rPr>
            </w:pPr>
            <w:r>
              <w:rPr>
                <w:b/>
                <w:sz w:val="21"/>
              </w:rPr>
              <w:t>职业资格或职业技能等级证书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526" w:type="dxa"/>
            <w:tcBorders>
              <w:bottom w:val="single" w:color="auto" w:sz="4" w:space="0"/>
            </w:tcBorders>
          </w:tcPr>
          <w:p>
            <w:pPr>
              <w:pStyle w:val="15"/>
              <w:jc w:val="both"/>
              <w:rPr>
                <w:sz w:val="21"/>
              </w:rPr>
            </w:pPr>
            <w:r>
              <w:rPr>
                <w:rFonts w:hint="eastAsia"/>
                <w:bCs/>
                <w:sz w:val="21"/>
              </w:rPr>
              <w:t>新闻传播大类56</w:t>
            </w:r>
          </w:p>
        </w:tc>
        <w:tc>
          <w:tcPr>
            <w:tcW w:w="1416" w:type="dxa"/>
            <w:tcBorders>
              <w:bottom w:val="single" w:color="auto" w:sz="4" w:space="0"/>
            </w:tcBorders>
          </w:tcPr>
          <w:p>
            <w:pPr>
              <w:pStyle w:val="15"/>
              <w:ind w:right="363" w:rightChars="165"/>
              <w:jc w:val="both"/>
              <w:rPr>
                <w:sz w:val="21"/>
              </w:rPr>
            </w:pPr>
            <w:r>
              <w:rPr>
                <w:bCs/>
                <w:sz w:val="21"/>
              </w:rPr>
              <w:t>播音与主持560201</w:t>
            </w:r>
          </w:p>
        </w:tc>
        <w:tc>
          <w:tcPr>
            <w:tcW w:w="1418" w:type="dxa"/>
            <w:tcBorders>
              <w:bottom w:val="single" w:color="auto" w:sz="4" w:space="0"/>
            </w:tcBorders>
          </w:tcPr>
          <w:p>
            <w:pPr>
              <w:pStyle w:val="15"/>
              <w:jc w:val="both"/>
              <w:rPr>
                <w:sz w:val="21"/>
              </w:rPr>
            </w:pPr>
            <w:r>
              <w:rPr>
                <w:bCs/>
                <w:sz w:val="21"/>
              </w:rPr>
              <w:t>广播、电视、电影和音像业</w:t>
            </w:r>
            <w:r>
              <w:rPr>
                <w:rFonts w:hint="eastAsia"/>
                <w:bCs/>
                <w:sz w:val="21"/>
              </w:rPr>
              <w:t>（1889）</w:t>
            </w:r>
          </w:p>
        </w:tc>
        <w:tc>
          <w:tcPr>
            <w:tcW w:w="1809" w:type="dxa"/>
            <w:tcBorders>
              <w:bottom w:val="single" w:color="auto" w:sz="4" w:space="0"/>
            </w:tcBorders>
          </w:tcPr>
          <w:p>
            <w:pPr>
              <w:pStyle w:val="15"/>
              <w:jc w:val="both"/>
              <w:rPr>
                <w:sz w:val="21"/>
              </w:rPr>
            </w:pPr>
            <w:r>
              <w:rPr>
                <w:rFonts w:hint="eastAsia"/>
                <w:bCs/>
                <w:sz w:val="21"/>
              </w:rPr>
              <w:t>播音员及节目主持人（2-74）、记者（2-71）</w:t>
            </w:r>
          </w:p>
        </w:tc>
        <w:tc>
          <w:tcPr>
            <w:tcW w:w="1735" w:type="dxa"/>
            <w:tcBorders>
              <w:bottom w:val="single" w:color="auto" w:sz="4" w:space="0"/>
            </w:tcBorders>
            <w:shd w:val="clear" w:color="auto" w:fill="auto"/>
          </w:tcPr>
          <w:p>
            <w:pPr>
              <w:pStyle w:val="15"/>
              <w:jc w:val="both"/>
              <w:rPr>
                <w:sz w:val="21"/>
              </w:rPr>
            </w:pPr>
            <w:r>
              <w:rPr>
                <w:rFonts w:hint="eastAsia"/>
                <w:bCs/>
                <w:sz w:val="21"/>
              </w:rPr>
              <w:t>播音员主持人、景区展览馆讲解员、新媒体行业从业者</w:t>
            </w:r>
          </w:p>
        </w:tc>
        <w:tc>
          <w:tcPr>
            <w:tcW w:w="1841" w:type="dxa"/>
            <w:tcBorders>
              <w:bottom w:val="single" w:color="auto" w:sz="4" w:space="0"/>
            </w:tcBorders>
            <w:shd w:val="clear" w:color="auto" w:fill="auto"/>
          </w:tcPr>
          <w:p>
            <w:pPr>
              <w:pStyle w:val="15"/>
              <w:jc w:val="both"/>
              <w:rPr>
                <w:bCs/>
                <w:sz w:val="21"/>
              </w:rPr>
            </w:pPr>
            <w:r>
              <w:rPr>
                <w:bCs/>
                <w:sz w:val="21"/>
              </w:rPr>
              <w:t>普通话水平证书</w:t>
            </w:r>
            <w:r>
              <w:rPr>
                <w:rFonts w:hint="eastAsia"/>
                <w:bCs/>
                <w:sz w:val="21"/>
              </w:rPr>
              <w:t>（国家语言文字工作委员会）</w:t>
            </w:r>
          </w:p>
          <w:p>
            <w:pPr>
              <w:pStyle w:val="15"/>
              <w:jc w:val="both"/>
              <w:rPr>
                <w:bCs/>
                <w:sz w:val="21"/>
              </w:rPr>
            </w:pPr>
            <w:r>
              <w:rPr>
                <w:rFonts w:hint="eastAsia"/>
                <w:bCs/>
                <w:sz w:val="21"/>
              </w:rPr>
              <w:t>计算机等级证书</w:t>
            </w:r>
          </w:p>
          <w:p>
            <w:pPr>
              <w:pStyle w:val="15"/>
              <w:jc w:val="both"/>
              <w:rPr>
                <w:sz w:val="21"/>
              </w:rPr>
            </w:pPr>
            <w:r>
              <w:rPr>
                <w:rFonts w:hint="eastAsia"/>
                <w:bCs/>
                <w:sz w:val="21"/>
              </w:rPr>
              <w:t>（教育部）</w:t>
            </w:r>
          </w:p>
        </w:tc>
      </w:tr>
    </w:tbl>
    <w:p>
      <w:pPr>
        <w:pStyle w:val="4"/>
        <w:spacing w:before="2"/>
        <w:ind w:left="0"/>
        <w:rPr>
          <w:b/>
          <w:sz w:val="14"/>
        </w:rPr>
      </w:pPr>
    </w:p>
    <w:p>
      <w:pPr>
        <w:autoSpaceDE/>
        <w:autoSpaceDN/>
        <w:adjustRightInd w:val="0"/>
        <w:spacing w:line="360" w:lineRule="exact"/>
        <w:ind w:firstLine="422" w:firstLineChars="200"/>
        <w:jc w:val="both"/>
        <w:rPr>
          <w:rFonts w:cs="Times New Roman"/>
          <w:b/>
          <w:bCs/>
          <w:color w:val="000000"/>
          <w:kern w:val="2"/>
          <w:sz w:val="21"/>
          <w:szCs w:val="21"/>
        </w:rPr>
      </w:pPr>
      <w:r>
        <w:rPr>
          <w:rFonts w:hint="eastAsia" w:cs="Times New Roman"/>
          <w:b/>
          <w:bCs/>
          <w:color w:val="000000"/>
          <w:kern w:val="2"/>
          <w:sz w:val="21"/>
          <w:szCs w:val="21"/>
        </w:rPr>
        <w:t>五</w:t>
      </w:r>
      <w:r>
        <w:rPr>
          <w:rFonts w:cs="Times New Roman"/>
          <w:b/>
          <w:bCs/>
          <w:color w:val="000000"/>
          <w:kern w:val="2"/>
          <w:sz w:val="21"/>
          <w:szCs w:val="21"/>
        </w:rPr>
        <w:t>、培养目标与</w:t>
      </w:r>
      <w:r>
        <w:rPr>
          <w:rFonts w:hint="eastAsia" w:cs="Times New Roman"/>
          <w:b/>
          <w:bCs/>
          <w:color w:val="000000"/>
          <w:kern w:val="2"/>
          <w:sz w:val="21"/>
          <w:szCs w:val="21"/>
        </w:rPr>
        <w:t>培养</w:t>
      </w:r>
      <w:r>
        <w:rPr>
          <w:rFonts w:cs="Times New Roman"/>
          <w:b/>
          <w:bCs/>
          <w:color w:val="000000"/>
          <w:kern w:val="2"/>
          <w:sz w:val="21"/>
          <w:szCs w:val="21"/>
        </w:rPr>
        <w:t>规格</w:t>
      </w:r>
    </w:p>
    <w:p>
      <w:pPr>
        <w:autoSpaceDE/>
        <w:autoSpaceDN/>
        <w:adjustRightInd w:val="0"/>
        <w:spacing w:line="360" w:lineRule="exact"/>
        <w:ind w:firstLine="422" w:firstLineChars="200"/>
        <w:jc w:val="both"/>
        <w:rPr>
          <w:rFonts w:cs="Times New Roman"/>
          <w:b/>
          <w:color w:val="000000"/>
          <w:kern w:val="2"/>
          <w:sz w:val="21"/>
          <w:szCs w:val="21"/>
        </w:rPr>
      </w:pPr>
      <w:r>
        <w:rPr>
          <w:rFonts w:hint="eastAsia" w:cs="Times New Roman"/>
          <w:b/>
          <w:color w:val="000000"/>
          <w:kern w:val="2"/>
          <w:sz w:val="21"/>
          <w:szCs w:val="21"/>
        </w:rPr>
        <w:t>（一）</w:t>
      </w:r>
      <w:r>
        <w:rPr>
          <w:rFonts w:cs="Times New Roman"/>
          <w:b/>
          <w:color w:val="000000"/>
          <w:kern w:val="2"/>
          <w:sz w:val="21"/>
          <w:szCs w:val="21"/>
        </w:rPr>
        <w:t>培养目标</w:t>
      </w:r>
      <w:r>
        <w:rPr>
          <w:rFonts w:hint="eastAsia" w:cs="Times New Roman"/>
          <w:b/>
          <w:color w:val="000000"/>
          <w:kern w:val="2"/>
          <w:sz w:val="21"/>
          <w:szCs w:val="21"/>
        </w:rPr>
        <w:t>。</w:t>
      </w:r>
    </w:p>
    <w:p>
      <w:pPr>
        <w:shd w:val="clear" w:color="auto" w:fill="FFFFFF"/>
        <w:autoSpaceDE/>
        <w:autoSpaceDN/>
        <w:snapToGrid w:val="0"/>
        <w:spacing w:line="360" w:lineRule="exact"/>
        <w:ind w:firstLine="415" w:firstLineChars="198"/>
        <w:jc w:val="both"/>
        <w:rPr>
          <w:rFonts w:cs="Times New Roman"/>
          <w:color w:val="000000"/>
          <w:kern w:val="2"/>
          <w:sz w:val="21"/>
          <w:szCs w:val="21"/>
        </w:rPr>
      </w:pPr>
      <w:r>
        <w:rPr>
          <w:rFonts w:hint="eastAsia" w:cs="Times New Roman"/>
          <w:color w:val="000000"/>
          <w:kern w:val="2"/>
          <w:sz w:val="21"/>
          <w:szCs w:val="21"/>
        </w:rPr>
        <w:t>本专业培养理想信念坚定，德、智、体、美、劳等全面发展，具有一定的科学文化水平，良好的人文素养、职业道德和创新意识，精益求精的工匠精神，较强的就业能力和可持续发展能力；掌握本专业知识和技能，与我国网络新媒体事业发展需求相适应的，具有媒体营销策划专业知识，具有出色的新闻采访能力和视频编辑能力，与文化市场接轨，能在新媒体企业从事网络编辑、网络记者、网络主持人工作，以及在网络媒体产业中一线</w:t>
      </w:r>
      <w:r>
        <w:rPr>
          <w:rFonts w:hint="eastAsia" w:cs="宋体"/>
          <w:kern w:val="2"/>
          <w:sz w:val="21"/>
          <w:szCs w:val="21"/>
        </w:rPr>
        <w:t>的高素质技术技能人才。</w:t>
      </w:r>
    </w:p>
    <w:p>
      <w:pPr>
        <w:autoSpaceDE/>
        <w:autoSpaceDN/>
        <w:adjustRightInd w:val="0"/>
        <w:spacing w:line="360" w:lineRule="exact"/>
        <w:ind w:firstLine="422" w:firstLineChars="200"/>
        <w:jc w:val="both"/>
        <w:rPr>
          <w:rFonts w:cs="Times New Roman"/>
          <w:b/>
          <w:color w:val="000000"/>
          <w:kern w:val="2"/>
          <w:sz w:val="21"/>
          <w:szCs w:val="21"/>
        </w:rPr>
      </w:pPr>
      <w:r>
        <w:rPr>
          <w:rFonts w:hint="eastAsia" w:cs="Times New Roman"/>
          <w:b/>
          <w:color w:val="000000"/>
          <w:kern w:val="2"/>
          <w:sz w:val="21"/>
          <w:szCs w:val="21"/>
        </w:rPr>
        <w:t>（二）培养</w:t>
      </w:r>
      <w:r>
        <w:rPr>
          <w:rFonts w:cs="Times New Roman"/>
          <w:b/>
          <w:color w:val="000000"/>
          <w:kern w:val="2"/>
          <w:sz w:val="21"/>
          <w:szCs w:val="21"/>
        </w:rPr>
        <w:t>规格</w:t>
      </w:r>
      <w:r>
        <w:rPr>
          <w:rFonts w:hint="eastAsia" w:cs="Times New Roman"/>
          <w:b/>
          <w:color w:val="000000"/>
          <w:kern w:val="2"/>
          <w:sz w:val="21"/>
          <w:szCs w:val="21"/>
        </w:rPr>
        <w:t>。</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本专业毕业生应在素质、知识、能力等方面达到以下要求。</w:t>
      </w:r>
    </w:p>
    <w:p>
      <w:pPr>
        <w:autoSpaceDE/>
        <w:autoSpaceDN/>
        <w:adjustRightInd w:val="0"/>
        <w:spacing w:line="360" w:lineRule="exact"/>
        <w:ind w:firstLine="422" w:firstLineChars="200"/>
        <w:jc w:val="both"/>
        <w:rPr>
          <w:rFonts w:cs="Times New Roman"/>
          <w:b/>
          <w:color w:val="000000"/>
          <w:kern w:val="2"/>
          <w:sz w:val="21"/>
          <w:szCs w:val="21"/>
        </w:rPr>
      </w:pPr>
      <w:r>
        <w:rPr>
          <w:rFonts w:hint="eastAsia" w:cs="Times New Roman"/>
          <w:b/>
          <w:color w:val="000000"/>
          <w:kern w:val="2"/>
          <w:sz w:val="21"/>
          <w:szCs w:val="21"/>
        </w:rPr>
        <w:t>素质</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1.坚定拥护中国共产党领导和我国社会主义制度，在习近平新时代中国特色社会主义思想指引下，践行社会主义核心价值观，具有深厚的爱国情感和中华民族自豪感。</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2.崇尚宪法、遵法守纪、崇德向善、诚实守信、尊重生命、热爱劳动，履行道德准则和行为规范，具有社会责任感和社会参与意识。</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3.具有质量意识、环保意识、安全意识、信息素养、工匠精神、创新思维。</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4.勇于奋斗、乐观向上，具有自我管理能力、职业生涯规划的意识，有较强的集体意识和团队合作精神。</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5.具有健康的体魄、心理和健全的人格，掌握基本运动知识和跑步、羽毛球等运动技能，养成良好的健身与卫生习惯，以及良好的行为习惯。</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6.具有一定的审美和人文素养，能够形成书法、古筝等艺术特长或爱好。</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知识</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1.掌握本专业必备的文学常识、应用写作及其他文化知识；</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2.掌握媒体经营的基本理论知识；</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3.掌握艺术表演创编的专业知识；</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4.掌握传播学的相关知识；</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 xml:space="preserve">5.掌握媒体营销学科的基本理论、基本知识； </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6.熟悉我国关于互联网业发展的方针、政策和法规。</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能力</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1.具备较强的团队合作精神和组织协调能力；</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2.具有新闻媒体服务实践的能力；</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3.标准的普通话发音，掌握科学的发声方法；</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4.掌握语言表达基本技能技艺；</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5.掌握各个类型节目策划与主持的能力；</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6.具备快速采写编辑播发新闻稿件的能力；</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7.掌握新媒体营销手段和技巧；</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8.具有运用旅游管理理论分析和解决问题的基本能力；</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9.掌握文献检索、资料查询的基本方法，具有一定的科学研究和实际工作能力。</w:t>
      </w:r>
    </w:p>
    <w:p>
      <w:pPr>
        <w:autoSpaceDE/>
        <w:autoSpaceDN/>
        <w:adjustRightInd w:val="0"/>
        <w:spacing w:line="360" w:lineRule="exact"/>
        <w:ind w:firstLine="422" w:firstLineChars="200"/>
        <w:jc w:val="both"/>
        <w:rPr>
          <w:rFonts w:cs="Times New Roman"/>
          <w:b/>
          <w:bCs/>
          <w:color w:val="000000"/>
          <w:kern w:val="2"/>
          <w:sz w:val="21"/>
          <w:szCs w:val="21"/>
        </w:rPr>
      </w:pPr>
      <w:r>
        <w:rPr>
          <w:rFonts w:hint="eastAsia" w:cs="Times New Roman"/>
          <w:b/>
          <w:bCs/>
          <w:color w:val="000000"/>
          <w:kern w:val="2"/>
          <w:sz w:val="21"/>
          <w:szCs w:val="21"/>
        </w:rPr>
        <w:t>六、课程设置及要求</w:t>
      </w:r>
    </w:p>
    <w:p>
      <w:pPr>
        <w:widowControl/>
        <w:spacing w:line="360" w:lineRule="exact"/>
        <w:ind w:firstLine="420" w:firstLineChars="200"/>
        <w:rPr>
          <w:rFonts w:cs="Times New Roman"/>
          <w:color w:val="000000"/>
          <w:kern w:val="2"/>
          <w:sz w:val="21"/>
          <w:szCs w:val="21"/>
        </w:rPr>
      </w:pPr>
      <w:r>
        <w:rPr>
          <w:rFonts w:hint="eastAsia" w:cs="Times New Roman"/>
          <w:color w:val="000000"/>
          <w:kern w:val="2"/>
          <w:sz w:val="21"/>
          <w:szCs w:val="21"/>
        </w:rPr>
        <w:t>本专业课程设置框架主要包括公共基础课程体系和专业（技能）课程体系。公共课程体系包括思想政治课程模块和文化课程模块；专业（技能）课程体系包括专业（群）平台课程模块、专业核心课程模块、专业技能实训课程模块、专业拓展课程模块等。</w:t>
      </w:r>
      <w:bookmarkStart w:id="1" w:name="bookmark7"/>
    </w:p>
    <w:bookmarkEnd w:id="1"/>
    <w:p>
      <w:pPr>
        <w:autoSpaceDE/>
        <w:autoSpaceDN/>
        <w:adjustRightInd w:val="0"/>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(一)主要公共基础课程教学内容及目标要求</w:t>
      </w:r>
    </w:p>
    <w:tbl>
      <w:tblPr>
        <w:tblStyle w:val="8"/>
        <w:tblW w:w="99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76"/>
        <w:gridCol w:w="3756"/>
        <w:gridCol w:w="41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b/>
                <w:bCs/>
                <w:color w:val="000000"/>
                <w:sz w:val="24"/>
              </w:rPr>
            </w:pPr>
            <w:r>
              <w:rPr>
                <w:rFonts w:hint="eastAsia"/>
                <w:b/>
                <w:bCs/>
                <w:color w:val="000000"/>
                <w:sz w:val="24"/>
              </w:rPr>
              <w:t>序</w:t>
            </w:r>
          </w:p>
          <w:p>
            <w:pPr>
              <w:adjustRightInd w:val="0"/>
              <w:snapToGrid w:val="0"/>
              <w:jc w:val="center"/>
              <w:rPr>
                <w:b/>
                <w:bCs/>
                <w:color w:val="000000"/>
                <w:sz w:val="24"/>
              </w:rPr>
            </w:pPr>
            <w:r>
              <w:rPr>
                <w:rFonts w:hint="eastAsia"/>
                <w:b/>
                <w:bCs/>
                <w:color w:val="000000"/>
                <w:sz w:val="24"/>
              </w:rPr>
              <w:t>号</w:t>
            </w:r>
          </w:p>
        </w:tc>
        <w:tc>
          <w:tcPr>
            <w:tcW w:w="1276" w:type="dxa"/>
            <w:tcBorders>
              <w:tl2br w:val="nil"/>
              <w:tr2bl w:val="nil"/>
            </w:tcBorders>
            <w:vAlign w:val="center"/>
          </w:tcPr>
          <w:p>
            <w:pPr>
              <w:adjustRightInd w:val="0"/>
              <w:snapToGrid w:val="0"/>
              <w:jc w:val="center"/>
              <w:rPr>
                <w:b/>
                <w:bCs/>
                <w:color w:val="000000"/>
                <w:sz w:val="24"/>
              </w:rPr>
            </w:pPr>
            <w:r>
              <w:rPr>
                <w:rFonts w:hint="eastAsia"/>
                <w:b/>
                <w:bCs/>
                <w:color w:val="000000"/>
                <w:sz w:val="24"/>
              </w:rPr>
              <w:t>课程</w:t>
            </w:r>
          </w:p>
          <w:p>
            <w:pPr>
              <w:adjustRightInd w:val="0"/>
              <w:snapToGrid w:val="0"/>
              <w:jc w:val="center"/>
              <w:rPr>
                <w:b/>
                <w:bCs/>
                <w:color w:val="000000"/>
                <w:sz w:val="24"/>
              </w:rPr>
            </w:pPr>
            <w:r>
              <w:rPr>
                <w:rFonts w:hint="eastAsia"/>
                <w:b/>
                <w:bCs/>
                <w:color w:val="000000"/>
                <w:sz w:val="24"/>
              </w:rPr>
              <w:t>名称</w:t>
            </w:r>
          </w:p>
        </w:tc>
        <w:tc>
          <w:tcPr>
            <w:tcW w:w="3756" w:type="dxa"/>
            <w:tcBorders>
              <w:tl2br w:val="nil"/>
              <w:tr2bl w:val="nil"/>
            </w:tcBorders>
            <w:vAlign w:val="center"/>
          </w:tcPr>
          <w:p>
            <w:pPr>
              <w:adjustRightInd w:val="0"/>
              <w:snapToGrid w:val="0"/>
              <w:jc w:val="center"/>
              <w:rPr>
                <w:b/>
                <w:bCs/>
                <w:color w:val="000000"/>
                <w:sz w:val="24"/>
              </w:rPr>
            </w:pPr>
            <w:r>
              <w:rPr>
                <w:rFonts w:hint="eastAsia"/>
                <w:b/>
                <w:bCs/>
                <w:color w:val="000000"/>
                <w:sz w:val="24"/>
              </w:rPr>
              <w:t>主要教学内容</w:t>
            </w:r>
          </w:p>
        </w:tc>
        <w:tc>
          <w:tcPr>
            <w:tcW w:w="4172" w:type="dxa"/>
            <w:tcBorders>
              <w:tl2br w:val="nil"/>
              <w:tr2bl w:val="nil"/>
            </w:tcBorders>
            <w:vAlign w:val="center"/>
          </w:tcPr>
          <w:p>
            <w:pPr>
              <w:adjustRightInd w:val="0"/>
              <w:snapToGrid w:val="0"/>
              <w:jc w:val="center"/>
              <w:rPr>
                <w:b/>
                <w:bCs/>
                <w:color w:val="000000"/>
                <w:sz w:val="24"/>
              </w:rPr>
            </w:pPr>
            <w:r>
              <w:rPr>
                <w:rFonts w:hint="eastAsia"/>
                <w:b/>
                <w:bCs/>
                <w:color w:val="000000"/>
                <w:sz w:val="24"/>
              </w:rPr>
              <w:t>目标要求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1</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中国特色社会主义</w:t>
            </w:r>
          </w:p>
          <w:p>
            <w:pPr>
              <w:adjustRightInd w:val="0"/>
              <w:snapToGrid w:val="0"/>
              <w:jc w:val="center"/>
              <w:rPr>
                <w:rFonts w:cs="Times New Roman"/>
                <w:color w:val="000000"/>
                <w:kern w:val="2"/>
                <w:sz w:val="21"/>
                <w:szCs w:val="21"/>
              </w:rPr>
            </w:pPr>
            <w:r>
              <w:rPr>
                <w:rFonts w:hint="eastAsia" w:cs="Times New Roman"/>
                <w:color w:val="000000"/>
                <w:kern w:val="2"/>
                <w:sz w:val="21"/>
                <w:szCs w:val="21"/>
              </w:rPr>
              <w:t>（32）</w:t>
            </w:r>
          </w:p>
        </w:tc>
        <w:tc>
          <w:tcPr>
            <w:tcW w:w="3756"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阐释中国特色社会主义的开创与发展，明确中国特色社会主义进入新时代的历史方位， 阐明中国特色社会主义建设“五位一体”总体布局的基本内容。</w:t>
            </w:r>
          </w:p>
        </w:tc>
        <w:tc>
          <w:tcPr>
            <w:tcW w:w="4172"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 主义事业、建设社会主义现代化强国、实现中华民族伟大复兴的奋斗之中。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2</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心理健康与职业生涯</w:t>
            </w:r>
          </w:p>
          <w:p>
            <w:pPr>
              <w:adjustRightInd w:val="0"/>
              <w:snapToGrid w:val="0"/>
              <w:jc w:val="center"/>
              <w:rPr>
                <w:rFonts w:cs="Times New Roman"/>
                <w:color w:val="000000"/>
                <w:kern w:val="2"/>
                <w:sz w:val="21"/>
                <w:szCs w:val="21"/>
              </w:rPr>
            </w:pPr>
            <w:r>
              <w:rPr>
                <w:rFonts w:hint="eastAsia" w:cs="Times New Roman"/>
                <w:color w:val="000000"/>
                <w:kern w:val="2"/>
                <w:sz w:val="21"/>
                <w:szCs w:val="21"/>
              </w:rPr>
              <w:t>（34）</w:t>
            </w:r>
          </w:p>
        </w:tc>
        <w:tc>
          <w:tcPr>
            <w:tcW w:w="3756" w:type="dxa"/>
            <w:tcBorders>
              <w:tl2br w:val="nil"/>
              <w:tr2bl w:val="nil"/>
            </w:tcBorders>
          </w:tcPr>
          <w:p>
            <w:pPr>
              <w:snapToGrid w:val="0"/>
              <w:ind w:firstLine="420" w:firstLineChars="200"/>
              <w:rPr>
                <w:rFonts w:cs="Times New Roman"/>
                <w:color w:val="000000"/>
                <w:kern w:val="2"/>
                <w:sz w:val="21"/>
                <w:szCs w:val="21"/>
              </w:rPr>
            </w:pPr>
            <w:r>
              <w:rPr>
                <w:rFonts w:hint="eastAsia" w:cs="Times New Roman"/>
                <w:color w:val="000000"/>
                <w:kern w:val="2"/>
                <w:sz w:val="21"/>
                <w:szCs w:val="21"/>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snapToGrid w:val="0"/>
              <w:ind w:firstLine="420" w:firstLineChars="200"/>
              <w:rPr>
                <w:rFonts w:cs="Times New Roman"/>
                <w:color w:val="000000"/>
                <w:kern w:val="2"/>
                <w:sz w:val="21"/>
                <w:szCs w:val="21"/>
              </w:rPr>
            </w:pPr>
          </w:p>
        </w:tc>
        <w:tc>
          <w:tcPr>
            <w:tcW w:w="4172" w:type="dxa"/>
            <w:tcBorders>
              <w:tl2br w:val="nil"/>
              <w:tr2bl w:val="nil"/>
            </w:tcBorders>
          </w:tcPr>
          <w:p>
            <w:pPr>
              <w:snapToGrid w:val="0"/>
              <w:ind w:firstLine="420" w:firstLineChars="200"/>
              <w:rPr>
                <w:rFonts w:cs="Times New Roman"/>
                <w:color w:val="000000"/>
                <w:kern w:val="2"/>
                <w:sz w:val="21"/>
                <w:szCs w:val="21"/>
              </w:rPr>
            </w:pPr>
            <w:r>
              <w:rPr>
                <w:rFonts w:hint="eastAsia" w:cs="Times New Roman"/>
                <w:color w:val="000000"/>
                <w:kern w:val="2"/>
                <w:sz w:val="21"/>
                <w:szCs w:val="21"/>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3</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哲学与人生</w:t>
            </w:r>
          </w:p>
          <w:p>
            <w:pPr>
              <w:adjustRightInd w:val="0"/>
              <w:snapToGrid w:val="0"/>
              <w:jc w:val="center"/>
              <w:rPr>
                <w:rFonts w:cs="Times New Roman"/>
                <w:color w:val="000000"/>
                <w:kern w:val="2"/>
                <w:sz w:val="21"/>
                <w:szCs w:val="21"/>
              </w:rPr>
            </w:pPr>
            <w:r>
              <w:rPr>
                <w:rFonts w:hint="eastAsia" w:cs="Times New Roman"/>
                <w:color w:val="000000"/>
                <w:kern w:val="2"/>
                <w:sz w:val="21"/>
                <w:szCs w:val="21"/>
              </w:rPr>
              <w:t>（34）</w:t>
            </w:r>
          </w:p>
        </w:tc>
        <w:tc>
          <w:tcPr>
            <w:tcW w:w="3756"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阐明马克思主义哲学是科学的世界观和方法论，讲述辩证唯物主义和历史唯物主义基本观点及其对人生成长的意义；阐述社会生活及个人成长中进行正确的价值判断和行为选择的意义；社会主义核心价值观内涵等。</w:t>
            </w:r>
          </w:p>
          <w:p>
            <w:pPr>
              <w:snapToGrid w:val="0"/>
              <w:ind w:firstLine="420" w:firstLineChars="200"/>
              <w:rPr>
                <w:rFonts w:cs="Times New Roman"/>
                <w:color w:val="000000"/>
                <w:kern w:val="2"/>
                <w:sz w:val="21"/>
                <w:szCs w:val="21"/>
              </w:rPr>
            </w:pPr>
          </w:p>
        </w:tc>
        <w:tc>
          <w:tcPr>
            <w:tcW w:w="4172" w:type="dxa"/>
            <w:tcBorders>
              <w:tl2br w:val="nil"/>
              <w:tr2bl w:val="nil"/>
            </w:tcBorders>
          </w:tcPr>
          <w:p>
            <w:pPr>
              <w:snapToGrid w:val="0"/>
              <w:ind w:firstLine="420" w:firstLineChars="200"/>
              <w:rPr>
                <w:rFonts w:cs="Times New Roman"/>
                <w:color w:val="000000"/>
                <w:kern w:val="2"/>
                <w:sz w:val="21"/>
                <w:szCs w:val="21"/>
              </w:rPr>
            </w:pPr>
            <w:r>
              <w:rPr>
                <w:rFonts w:hint="eastAsia" w:cs="Times New Roman"/>
                <w:color w:val="000000"/>
                <w:kern w:val="2"/>
                <w:sz w:val="21"/>
                <w:szCs w:val="21"/>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4</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职业道德与法治</w:t>
            </w:r>
          </w:p>
          <w:p>
            <w:pPr>
              <w:adjustRightInd w:val="0"/>
              <w:snapToGrid w:val="0"/>
              <w:jc w:val="center"/>
              <w:rPr>
                <w:rFonts w:cs="Times New Roman"/>
                <w:color w:val="000000"/>
                <w:kern w:val="2"/>
                <w:sz w:val="21"/>
                <w:szCs w:val="21"/>
              </w:rPr>
            </w:pPr>
            <w:r>
              <w:rPr>
                <w:rFonts w:hint="eastAsia" w:cs="Times New Roman"/>
                <w:color w:val="000000"/>
                <w:kern w:val="2"/>
                <w:sz w:val="21"/>
                <w:szCs w:val="21"/>
              </w:rPr>
              <w:t>（34）</w:t>
            </w:r>
          </w:p>
          <w:p>
            <w:pPr>
              <w:adjustRightInd w:val="0"/>
              <w:snapToGrid w:val="0"/>
              <w:jc w:val="center"/>
              <w:rPr>
                <w:rFonts w:cs="Times New Roman"/>
                <w:color w:val="000000"/>
                <w:kern w:val="2"/>
                <w:sz w:val="21"/>
                <w:szCs w:val="21"/>
              </w:rPr>
            </w:pPr>
          </w:p>
        </w:tc>
        <w:tc>
          <w:tcPr>
            <w:tcW w:w="3756"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感悟道德力量；践行职业道德的基本规范，提升职业道德境界；坚持全面依法治国；维护宪法尊严，遵循法律规范。</w:t>
            </w:r>
          </w:p>
        </w:tc>
        <w:tc>
          <w:tcPr>
            <w:tcW w:w="4172" w:type="dxa"/>
            <w:tcBorders>
              <w:tl2br w:val="nil"/>
              <w:tr2bl w:val="nil"/>
            </w:tcBorders>
          </w:tcPr>
          <w:p>
            <w:pPr>
              <w:snapToGrid w:val="0"/>
              <w:ind w:firstLine="420" w:firstLineChars="200"/>
              <w:rPr>
                <w:rFonts w:cs="Times New Roman"/>
                <w:color w:val="000000"/>
                <w:kern w:val="2"/>
                <w:sz w:val="21"/>
                <w:szCs w:val="21"/>
              </w:rPr>
            </w:pPr>
            <w:r>
              <w:rPr>
                <w:rFonts w:hint="eastAsia" w:cs="Times New Roman"/>
                <w:color w:val="000000"/>
                <w:kern w:val="2"/>
                <w:sz w:val="21"/>
                <w:szCs w:val="21"/>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5</w:t>
            </w:r>
          </w:p>
        </w:tc>
        <w:tc>
          <w:tcPr>
            <w:tcW w:w="1276" w:type="dxa"/>
            <w:tcBorders>
              <w:tl2br w:val="nil"/>
              <w:tr2bl w:val="nil"/>
            </w:tcBorders>
            <w:vAlign w:val="center"/>
          </w:tcPr>
          <w:p>
            <w:pPr>
              <w:adjustRightInd w:val="0"/>
              <w:snapToGrid w:val="0"/>
              <w:jc w:val="center"/>
              <w:rPr>
                <w:rFonts w:hint="eastAsia" w:eastAsia="仿宋" w:cs="Times New Roman"/>
                <w:color w:val="000000"/>
                <w:kern w:val="2"/>
                <w:sz w:val="21"/>
                <w:szCs w:val="21"/>
                <w:lang w:eastAsia="zh-CN"/>
              </w:rPr>
            </w:pPr>
            <w:r>
              <w:rPr>
                <w:rFonts w:hint="eastAsia" w:cs="Times New Roman"/>
                <w:color w:val="000000"/>
                <w:kern w:val="2"/>
                <w:sz w:val="21"/>
                <w:szCs w:val="21"/>
              </w:rPr>
              <w:t>思想道德</w:t>
            </w:r>
            <w:r>
              <w:rPr>
                <w:rFonts w:hint="eastAsia" w:cs="Times New Roman"/>
                <w:color w:val="000000"/>
                <w:kern w:val="2"/>
                <w:sz w:val="21"/>
                <w:szCs w:val="21"/>
                <w:lang w:eastAsia="zh-CN"/>
              </w:rPr>
              <w:t>与法制</w:t>
            </w:r>
            <w:bookmarkStart w:id="3" w:name="_GoBack"/>
            <w:bookmarkEnd w:id="3"/>
          </w:p>
          <w:p>
            <w:pPr>
              <w:adjustRightInd w:val="0"/>
              <w:snapToGrid w:val="0"/>
              <w:jc w:val="center"/>
              <w:rPr>
                <w:rFonts w:cs="Times New Roman"/>
                <w:color w:val="000000"/>
                <w:kern w:val="2"/>
                <w:sz w:val="21"/>
                <w:szCs w:val="21"/>
              </w:rPr>
            </w:pPr>
            <w:r>
              <w:rPr>
                <w:rFonts w:hint="eastAsia" w:cs="Times New Roman"/>
                <w:color w:val="000000"/>
                <w:kern w:val="2"/>
                <w:sz w:val="21"/>
                <w:szCs w:val="21"/>
              </w:rPr>
              <w:t>（51）</w:t>
            </w:r>
          </w:p>
        </w:tc>
        <w:tc>
          <w:tcPr>
            <w:tcW w:w="3756" w:type="dxa"/>
            <w:tcBorders>
              <w:tl2br w:val="nil"/>
              <w:tr2bl w:val="nil"/>
            </w:tcBorders>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本课程包括知识模块和实践模块。</w:t>
            </w:r>
          </w:p>
          <w:p>
            <w:pPr>
              <w:snapToGrid w:val="0"/>
              <w:ind w:firstLine="420" w:firstLineChars="200"/>
              <w:rPr>
                <w:rFonts w:cs="Times New Roman"/>
                <w:color w:val="000000"/>
                <w:kern w:val="2"/>
                <w:sz w:val="21"/>
                <w:szCs w:val="21"/>
              </w:rPr>
            </w:pPr>
            <w:r>
              <w:rPr>
                <w:rFonts w:hint="eastAsia" w:cs="Times New Roman"/>
                <w:color w:val="000000"/>
                <w:kern w:val="2"/>
                <w:sz w:val="21"/>
                <w:szCs w:val="21"/>
              </w:rPr>
              <w:t>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snapToGrid w:val="0"/>
              <w:ind w:firstLine="420" w:firstLineChars="200"/>
              <w:rPr>
                <w:rFonts w:cs="Times New Roman"/>
                <w:color w:val="000000"/>
                <w:kern w:val="2"/>
                <w:sz w:val="21"/>
                <w:szCs w:val="21"/>
              </w:rPr>
            </w:pPr>
            <w:r>
              <w:rPr>
                <w:rFonts w:hint="eastAsia" w:cs="Times New Roman"/>
                <w:color w:val="000000"/>
                <w:kern w:val="2"/>
                <w:sz w:val="21"/>
                <w:szCs w:val="21"/>
              </w:rPr>
              <w:t>实践模块：通过课堂讨论、经典回放、文献报告等课堂实践，校外参观学习、假期社会调查等社会实践，实现理论学习与实践体验的有效衔接。</w:t>
            </w:r>
          </w:p>
        </w:tc>
        <w:tc>
          <w:tcPr>
            <w:tcW w:w="4172"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6</w:t>
            </w:r>
          </w:p>
        </w:tc>
        <w:tc>
          <w:tcPr>
            <w:tcW w:w="1276" w:type="dxa"/>
            <w:tcBorders>
              <w:tl2br w:val="nil"/>
              <w:tr2bl w:val="nil"/>
            </w:tcBorders>
            <w:vAlign w:val="center"/>
          </w:tcPr>
          <w:p>
            <w:pPr>
              <w:adjustRightInd w:val="0"/>
              <w:snapToGrid w:val="0"/>
              <w:rPr>
                <w:rFonts w:cs="Times New Roman"/>
                <w:color w:val="000000"/>
                <w:kern w:val="2"/>
                <w:sz w:val="21"/>
                <w:szCs w:val="21"/>
              </w:rPr>
            </w:pPr>
            <w:r>
              <w:rPr>
                <w:rFonts w:hint="eastAsia" w:cs="Times New Roman"/>
                <w:color w:val="000000"/>
                <w:kern w:val="2"/>
                <w:sz w:val="21"/>
                <w:szCs w:val="21"/>
              </w:rPr>
              <w:t>毛泽东思想和中国特色社会主义理论体系概论</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w:t>
            </w:r>
          </w:p>
        </w:tc>
        <w:tc>
          <w:tcPr>
            <w:tcW w:w="3756" w:type="dxa"/>
            <w:tcBorders>
              <w:tl2br w:val="nil"/>
              <w:tr2bl w:val="nil"/>
            </w:tcBorders>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阐述马克思主义中国化理论成果的主要内容、精神实质、历史地位和指导意义，毛泽东思想的主要内容及其历史地位，邓小平理论、“三个代表”重要思想、科学发展观各自形成的社会历史条件、形成发展过程、主要内容和历史地位，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等。</w:t>
            </w:r>
          </w:p>
        </w:tc>
        <w:tc>
          <w:tcPr>
            <w:tcW w:w="4172"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旨在从整体上阐释马克思主义中国化理论成果，既体现马克思主义中国化理论成果形成和发展的历史逻辑，又体现这些理论成果的理论逻辑；既体现马克思主义中国化理论成果的 整体性，又体现各个理论成果的重点和难点，力求全面准确地理解毛泽东思想和中国特色社会主义理论体系，尤其是马克思主义中国化的最新成果——习近平新时代中国特色社会主义思想，引导学生增强中国特色社会主义道路自信、理论自信、制度自信、文化自信，努力培养德智体美劳全面发展的社会主义建设者和接班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7</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语文</w:t>
            </w:r>
          </w:p>
          <w:p>
            <w:pPr>
              <w:adjustRightInd w:val="0"/>
              <w:snapToGrid w:val="0"/>
              <w:jc w:val="center"/>
              <w:rPr>
                <w:rFonts w:cs="Times New Roman"/>
                <w:color w:val="000000"/>
                <w:kern w:val="2"/>
                <w:sz w:val="21"/>
                <w:szCs w:val="21"/>
              </w:rPr>
            </w:pPr>
            <w:r>
              <w:rPr>
                <w:rFonts w:hint="eastAsia" w:cs="Times New Roman"/>
                <w:color w:val="000000"/>
                <w:kern w:val="2"/>
                <w:sz w:val="21"/>
                <w:szCs w:val="21"/>
              </w:rPr>
              <w:t>（302）</w:t>
            </w:r>
          </w:p>
        </w:tc>
        <w:tc>
          <w:tcPr>
            <w:tcW w:w="3756" w:type="dxa"/>
            <w:tcBorders>
              <w:tl2br w:val="nil"/>
              <w:tr2bl w:val="nil"/>
            </w:tcBorders>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本课程分为基础模块（必修）、职业模块（限定选修）、拓展模块（选修）。</w:t>
            </w:r>
          </w:p>
          <w:p>
            <w:pPr>
              <w:adjustRightInd w:val="0"/>
              <w:snapToGrid w:val="0"/>
              <w:rPr>
                <w:rFonts w:cs="Times New Roman"/>
                <w:color w:val="000000"/>
                <w:kern w:val="2"/>
                <w:sz w:val="21"/>
                <w:szCs w:val="21"/>
              </w:rPr>
            </w:pPr>
            <w:r>
              <w:rPr>
                <w:rFonts w:hint="eastAsia" w:cs="Times New Roman"/>
                <w:color w:val="000000"/>
                <w:kern w:val="2"/>
                <w:sz w:val="21"/>
                <w:szCs w:val="21"/>
              </w:rPr>
              <w:t xml:space="preserve"> </w:t>
            </w:r>
            <w:r>
              <w:rPr>
                <w:rFonts w:cs="Times New Roman"/>
                <w:color w:val="000000"/>
                <w:kern w:val="2"/>
                <w:sz w:val="21"/>
                <w:szCs w:val="21"/>
              </w:rPr>
              <w:t xml:space="preserve">   </w:t>
            </w:r>
            <w:r>
              <w:rPr>
                <w:rFonts w:hint="eastAsia" w:cs="Times New Roman"/>
                <w:color w:val="000000"/>
                <w:kern w:val="2"/>
                <w:sz w:val="21"/>
                <w:szCs w:val="21"/>
              </w:rPr>
              <w:t>基础模块：语感与语言习得，中外文学作品选读，实用性阅读与口语交流，古代诗文选读，中国革命传统作品选读，社会主义先进文化作品选读。</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职业模块：劳模、工匠精神作品研读，职场应用写作与交流，科普作品选读。</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拓展模块：思辨性阅读与表达，古代科技著述选读，中外文学作品研读。</w:t>
            </w:r>
          </w:p>
        </w:tc>
        <w:tc>
          <w:tcPr>
            <w:tcW w:w="4172"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8</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数学</w:t>
            </w:r>
          </w:p>
          <w:p>
            <w:pPr>
              <w:adjustRightInd w:val="0"/>
              <w:snapToGrid w:val="0"/>
              <w:jc w:val="center"/>
              <w:rPr>
                <w:rFonts w:cs="Times New Roman"/>
                <w:color w:val="000000"/>
                <w:kern w:val="2"/>
                <w:sz w:val="21"/>
                <w:szCs w:val="21"/>
              </w:rPr>
            </w:pPr>
            <w:r>
              <w:rPr>
                <w:rFonts w:hint="eastAsia" w:cs="Times New Roman"/>
                <w:color w:val="000000"/>
                <w:kern w:val="2"/>
                <w:sz w:val="21"/>
                <w:szCs w:val="21"/>
              </w:rPr>
              <w:t>（268）</w:t>
            </w:r>
          </w:p>
        </w:tc>
        <w:tc>
          <w:tcPr>
            <w:tcW w:w="3756" w:type="dxa"/>
            <w:tcBorders>
              <w:tl2br w:val="nil"/>
              <w:tr2bl w:val="nil"/>
            </w:tcBorders>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本课程分为必修模块、选修模块、发展（应用）模块。</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必修模块：集合、不等式、函数、三角函数、数列、平面向量、立体几何、概率与统计初步、复数、线性规划初步、平面解析几何、排列、组合与二项式定理等。</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选修模块：逻辑代数初步、算法与程序框图、数据表格信息处理、编制计划的原理与方法（学校可根据实际需求在上述四个部分内容中选择两部分内容进行教学）。</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发展（应用）模块：极限与连续、导数与微分等内容，或专业数学（如线性代数）。</w:t>
            </w:r>
          </w:p>
        </w:tc>
        <w:tc>
          <w:tcPr>
            <w:tcW w:w="4172"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9</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英语</w:t>
            </w:r>
          </w:p>
          <w:p>
            <w:pPr>
              <w:adjustRightInd w:val="0"/>
              <w:snapToGrid w:val="0"/>
              <w:jc w:val="center"/>
              <w:rPr>
                <w:rFonts w:cs="Times New Roman"/>
                <w:color w:val="000000"/>
                <w:kern w:val="2"/>
                <w:sz w:val="21"/>
                <w:szCs w:val="21"/>
              </w:rPr>
            </w:pPr>
            <w:r>
              <w:rPr>
                <w:rFonts w:hint="eastAsia" w:cs="Times New Roman"/>
                <w:color w:val="000000"/>
                <w:kern w:val="2"/>
                <w:sz w:val="21"/>
                <w:szCs w:val="21"/>
              </w:rPr>
              <w:t>（234）</w:t>
            </w:r>
          </w:p>
        </w:tc>
        <w:tc>
          <w:tcPr>
            <w:tcW w:w="3756" w:type="dxa"/>
            <w:tcBorders>
              <w:tl2br w:val="nil"/>
              <w:tr2bl w:val="nil"/>
            </w:tcBorders>
          </w:tcPr>
          <w:p>
            <w:pPr>
              <w:snapToGrid w:val="0"/>
              <w:rPr>
                <w:rFonts w:cs="Times New Roman"/>
                <w:color w:val="000000"/>
                <w:kern w:val="2"/>
                <w:sz w:val="21"/>
                <w:szCs w:val="21"/>
              </w:rPr>
            </w:pPr>
            <w:r>
              <w:rPr>
                <w:rFonts w:hint="eastAsia" w:cs="Times New Roman"/>
                <w:color w:val="000000"/>
                <w:kern w:val="2"/>
                <w:sz w:val="21"/>
                <w:szCs w:val="21"/>
              </w:rPr>
              <w:t xml:space="preserve">    本课程分为必修模块、选修模块。</w:t>
            </w:r>
          </w:p>
          <w:p>
            <w:pPr>
              <w:snapToGrid w:val="0"/>
              <w:ind w:firstLine="420" w:firstLineChars="200"/>
              <w:rPr>
                <w:rFonts w:cs="Times New Roman"/>
                <w:color w:val="000000"/>
                <w:kern w:val="2"/>
                <w:sz w:val="21"/>
                <w:szCs w:val="21"/>
              </w:rPr>
            </w:pPr>
            <w:r>
              <w:rPr>
                <w:rFonts w:hint="eastAsia" w:cs="Times New Roman"/>
                <w:color w:val="000000"/>
                <w:kern w:val="2"/>
                <w:sz w:val="21"/>
                <w:szCs w:val="21"/>
              </w:rPr>
              <w:t>必修模块以主题为主线，涵盖语篇类型、语言与技能知识、文化情感知识。</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在自我与他人、生活与学习、社会交往、社会服务、历史与文化、科学与技术、自然与环境和可持续发展8个主题中，涵盖记叙文、说明文、应用文和议论文等文体，并涉及口头、书面语体。</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语言与技能知识包括语音知识、词汇知识、语法知识、语篇知识、语用知识。</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文化情感知识包括</w:t>
            </w:r>
            <w:r>
              <w:rPr>
                <w:rFonts w:cs="Times New Roman"/>
                <w:color w:val="000000"/>
                <w:kern w:val="2"/>
                <w:sz w:val="21"/>
                <w:szCs w:val="21"/>
              </w:rPr>
              <w:t>中外文化的成就及其代表人物</w:t>
            </w:r>
            <w:r>
              <w:rPr>
                <w:rFonts w:hint="eastAsia" w:cs="Times New Roman"/>
                <w:color w:val="000000"/>
                <w:kern w:val="2"/>
                <w:sz w:val="21"/>
                <w:szCs w:val="21"/>
              </w:rPr>
              <w:t>、</w:t>
            </w:r>
            <w:r>
              <w:rPr>
                <w:rFonts w:cs="Times New Roman"/>
                <w:color w:val="000000"/>
                <w:kern w:val="2"/>
                <w:sz w:val="21"/>
                <w:szCs w:val="21"/>
              </w:rPr>
              <w:t>中外传统节日和民俗的异同</w:t>
            </w:r>
            <w:r>
              <w:rPr>
                <w:rFonts w:hint="eastAsia" w:cs="Times New Roman"/>
                <w:color w:val="000000"/>
                <w:kern w:val="2"/>
                <w:sz w:val="21"/>
                <w:szCs w:val="21"/>
              </w:rPr>
              <w:t>、</w:t>
            </w:r>
            <w:r>
              <w:rPr>
                <w:rFonts w:cs="Times New Roman"/>
                <w:color w:val="000000"/>
                <w:kern w:val="2"/>
                <w:sz w:val="21"/>
                <w:szCs w:val="21"/>
              </w:rPr>
              <w:t>中外文明礼仪的</w:t>
            </w:r>
            <w:r>
              <w:rPr>
                <w:rFonts w:hint="eastAsia" w:cs="Times New Roman"/>
                <w:color w:val="000000"/>
                <w:kern w:val="2"/>
                <w:sz w:val="21"/>
                <w:szCs w:val="21"/>
              </w:rPr>
              <w:t>差异、</w:t>
            </w:r>
            <w:r>
              <w:rPr>
                <w:rFonts w:cs="Times New Roman"/>
                <w:color w:val="000000"/>
                <w:kern w:val="2"/>
                <w:sz w:val="21"/>
                <w:szCs w:val="21"/>
              </w:rPr>
              <w:t>相关国家人文地理</w:t>
            </w:r>
            <w:r>
              <w:rPr>
                <w:rFonts w:hint="eastAsia" w:cs="Times New Roman"/>
                <w:color w:val="000000"/>
                <w:kern w:val="2"/>
                <w:sz w:val="21"/>
                <w:szCs w:val="21"/>
              </w:rPr>
              <w:t>、</w:t>
            </w:r>
            <w:r>
              <w:rPr>
                <w:rFonts w:cs="Times New Roman"/>
                <w:color w:val="000000"/>
                <w:kern w:val="2"/>
                <w:sz w:val="21"/>
                <w:szCs w:val="21"/>
              </w:rPr>
              <w:t>中华优秀传统文化</w:t>
            </w:r>
            <w:r>
              <w:rPr>
                <w:rFonts w:hint="eastAsia" w:cs="Times New Roman"/>
                <w:color w:val="000000"/>
                <w:kern w:val="2"/>
                <w:sz w:val="21"/>
                <w:szCs w:val="21"/>
              </w:rPr>
              <w:t>等。</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选修模块：依据与职业领域相关的通用职场能力设立求职应聘、职场礼仪、职场服务、设备操作、技术应用、职场安全、危机应对、职场规划等主题。</w:t>
            </w:r>
          </w:p>
        </w:tc>
        <w:tc>
          <w:tcPr>
            <w:tcW w:w="4172"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掌握英语基础知识和基本技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效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1</w:t>
            </w:r>
            <w:r>
              <w:rPr>
                <w:rFonts w:cs="Times New Roman"/>
                <w:color w:val="000000"/>
                <w:kern w:val="2"/>
                <w:sz w:val="21"/>
                <w:szCs w:val="21"/>
              </w:rPr>
              <w:t>0</w:t>
            </w:r>
          </w:p>
        </w:tc>
        <w:tc>
          <w:tcPr>
            <w:tcW w:w="1276" w:type="dxa"/>
            <w:tcBorders>
              <w:tl2br w:val="nil"/>
              <w:tr2bl w:val="nil"/>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信息技术</w:t>
            </w:r>
          </w:p>
          <w:p>
            <w:pPr>
              <w:adjustRightInd w:val="0"/>
              <w:snapToGrid w:val="0"/>
              <w:jc w:val="center"/>
              <w:rPr>
                <w:rFonts w:cs="Times New Roman"/>
                <w:color w:val="000000"/>
                <w:kern w:val="2"/>
                <w:sz w:val="21"/>
                <w:szCs w:val="21"/>
              </w:rPr>
            </w:pPr>
            <w:r>
              <w:rPr>
                <w:rFonts w:hint="eastAsia" w:cs="Times New Roman"/>
                <w:color w:val="000000"/>
                <w:kern w:val="2"/>
                <w:sz w:val="21"/>
                <w:szCs w:val="21"/>
              </w:rPr>
              <w:t>（99）</w:t>
            </w:r>
          </w:p>
        </w:tc>
        <w:tc>
          <w:tcPr>
            <w:tcW w:w="3756" w:type="dxa"/>
            <w:tcBorders>
              <w:tl2br w:val="nil"/>
              <w:tr2bl w:val="nil"/>
            </w:tcBorders>
          </w:tcPr>
          <w:p>
            <w:pPr>
              <w:snapToGrid w:val="0"/>
              <w:ind w:firstLine="420" w:firstLineChars="200"/>
              <w:rPr>
                <w:rFonts w:cs="Times New Roman"/>
                <w:color w:val="000000"/>
                <w:kern w:val="2"/>
                <w:sz w:val="21"/>
                <w:szCs w:val="21"/>
              </w:rPr>
            </w:pPr>
            <w:r>
              <w:rPr>
                <w:rFonts w:hint="eastAsia" w:cs="Times New Roman"/>
                <w:color w:val="000000"/>
                <w:kern w:val="2"/>
                <w:sz w:val="21"/>
                <w:szCs w:val="21"/>
              </w:rPr>
              <w:t>本课程分为基础模块（必修）和拓展模块（选修）。</w:t>
            </w:r>
          </w:p>
          <w:p>
            <w:pPr>
              <w:snapToGrid w:val="0"/>
              <w:ind w:firstLine="420" w:firstLineChars="200"/>
              <w:rPr>
                <w:rFonts w:cs="Times New Roman"/>
                <w:color w:val="000000"/>
                <w:kern w:val="2"/>
                <w:sz w:val="21"/>
                <w:szCs w:val="21"/>
              </w:rPr>
            </w:pPr>
            <w:r>
              <w:rPr>
                <w:rFonts w:hint="eastAsia" w:cs="Times New Roman"/>
                <w:color w:val="000000"/>
                <w:kern w:val="2"/>
                <w:sz w:val="21"/>
                <w:szCs w:val="21"/>
              </w:rPr>
              <w:t>基础模块：信息技术应用基础、网络技术应用、图文编辑、数据处理、演示文稿制作、程序设计入门、数字媒体技术应用、信息安全基础、人工智能。</w:t>
            </w:r>
          </w:p>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拓展模块：维护计算机与移动终端、组建小型网络、应用办公云、制作实用图册、绘制三维数字模型、编制数据报表、创作数字媒体作品、体验 VR/AR应用、开设个人网店、设计应用程序、保护信息安全（不同类别的专业可根据实际需求选择2—3个专题进行教学）。</w:t>
            </w:r>
          </w:p>
        </w:tc>
        <w:tc>
          <w:tcPr>
            <w:tcW w:w="4172" w:type="dxa"/>
            <w:tcBorders>
              <w:tl2br w:val="nil"/>
              <w:tr2bl w:val="nil"/>
            </w:tcBorders>
            <w:vAlign w:val="center"/>
          </w:tcPr>
          <w:p>
            <w:pPr>
              <w:snapToGrid w:val="0"/>
              <w:ind w:firstLine="420" w:firstLineChars="200"/>
              <w:rPr>
                <w:rFonts w:cs="Times New Roman"/>
                <w:color w:val="000000"/>
                <w:kern w:val="2"/>
                <w:sz w:val="21"/>
                <w:szCs w:val="21"/>
              </w:rPr>
            </w:pPr>
            <w:r>
              <w:rPr>
                <w:rFonts w:hint="eastAsia" w:cs="Times New Roman"/>
                <w:color w:val="000000"/>
                <w:kern w:val="2"/>
                <w:sz w:val="21"/>
                <w:szCs w:val="21"/>
              </w:rPr>
              <w:t>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tbl>
    <w:p>
      <w:pPr>
        <w:widowControl/>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（二）专业（技能）课程</w:t>
      </w:r>
    </w:p>
    <w:p>
      <w:pPr>
        <w:adjustRightInd w:val="0"/>
        <w:snapToGrid w:val="0"/>
        <w:spacing w:line="360" w:lineRule="exact"/>
        <w:ind w:firstLine="420" w:firstLineChars="200"/>
        <w:rPr>
          <w:rFonts w:cs="Times New Roman"/>
          <w:color w:val="000000"/>
          <w:kern w:val="2"/>
          <w:sz w:val="21"/>
          <w:szCs w:val="21"/>
        </w:rPr>
      </w:pPr>
      <w:r>
        <w:rPr>
          <w:rFonts w:hint="eastAsia" w:cs="Times New Roman"/>
          <w:color w:val="000000"/>
          <w:kern w:val="2"/>
          <w:sz w:val="21"/>
          <w:szCs w:val="21"/>
        </w:rPr>
        <w:t>1.专业群平台课程</w:t>
      </w:r>
    </w:p>
    <w:tbl>
      <w:tblPr>
        <w:tblStyle w:val="8"/>
        <w:tblW w:w="10177" w:type="dxa"/>
        <w:tblInd w:w="123" w:type="dxa"/>
        <w:tblLayout w:type="fixed"/>
        <w:tblCellMar>
          <w:top w:w="15" w:type="dxa"/>
          <w:left w:w="108" w:type="dxa"/>
          <w:bottom w:w="0" w:type="dxa"/>
          <w:right w:w="108" w:type="dxa"/>
        </w:tblCellMar>
      </w:tblPr>
      <w:tblGrid>
        <w:gridCol w:w="1089"/>
        <w:gridCol w:w="1896"/>
        <w:gridCol w:w="4964"/>
        <w:gridCol w:w="2228"/>
      </w:tblGrid>
      <w:tr>
        <w:tblPrEx>
          <w:tblCellMar>
            <w:top w:w="15" w:type="dxa"/>
            <w:left w:w="108" w:type="dxa"/>
            <w:bottom w:w="0" w:type="dxa"/>
            <w:right w:w="108" w:type="dxa"/>
          </w:tblCellMar>
        </w:tblPrEx>
        <w:trPr>
          <w:wAfter w:w="0" w:type="auto"/>
          <w:trHeight w:val="270" w:hRule="atLeast"/>
        </w:trPr>
        <w:tc>
          <w:tcPr>
            <w:tcW w:w="1089" w:type="dxa"/>
            <w:tcBorders>
              <w:top w:val="single" w:color="auto" w:sz="12" w:space="0"/>
              <w:left w:val="single" w:color="auto" w:sz="12" w:space="0"/>
              <w:bottom w:val="single" w:color="auto" w:sz="4" w:space="0"/>
              <w:right w:val="single" w:color="auto" w:sz="4" w:space="0"/>
            </w:tcBorders>
            <w:shd w:val="clear" w:color="auto" w:fill="auto"/>
            <w:noWrap/>
            <w:vAlign w:val="center"/>
          </w:tcPr>
          <w:p>
            <w:pPr>
              <w:widowControl/>
              <w:autoSpaceDE/>
              <w:autoSpaceDN/>
              <w:jc w:val="center"/>
              <w:rPr>
                <w:b/>
                <w:bCs/>
                <w:color w:val="000000"/>
                <w:sz w:val="24"/>
              </w:rPr>
            </w:pPr>
            <w:r>
              <w:rPr>
                <w:rFonts w:hint="eastAsia"/>
                <w:b/>
                <w:bCs/>
                <w:color w:val="000000"/>
                <w:sz w:val="24"/>
              </w:rPr>
              <w:t>序号</w:t>
            </w:r>
          </w:p>
        </w:tc>
        <w:tc>
          <w:tcPr>
            <w:tcW w:w="1896" w:type="dxa"/>
            <w:tcBorders>
              <w:top w:val="single" w:color="auto" w:sz="12" w:space="0"/>
              <w:left w:val="nil"/>
              <w:bottom w:val="single" w:color="auto" w:sz="4" w:space="0"/>
              <w:right w:val="single" w:color="auto" w:sz="4" w:space="0"/>
            </w:tcBorders>
            <w:shd w:val="clear" w:color="auto" w:fill="auto"/>
            <w:noWrap/>
            <w:vAlign w:val="center"/>
          </w:tcPr>
          <w:p>
            <w:pPr>
              <w:widowControl/>
              <w:autoSpaceDE/>
              <w:autoSpaceDN/>
              <w:jc w:val="center"/>
              <w:rPr>
                <w:b/>
                <w:bCs/>
                <w:color w:val="000000"/>
                <w:sz w:val="24"/>
              </w:rPr>
            </w:pPr>
            <w:r>
              <w:rPr>
                <w:rFonts w:hint="eastAsia"/>
                <w:b/>
                <w:bCs/>
                <w:color w:val="000000"/>
                <w:sz w:val="24"/>
              </w:rPr>
              <w:t>课程名称</w:t>
            </w:r>
          </w:p>
        </w:tc>
        <w:tc>
          <w:tcPr>
            <w:tcW w:w="4964" w:type="dxa"/>
            <w:tcBorders>
              <w:top w:val="single" w:color="auto" w:sz="12" w:space="0"/>
              <w:left w:val="nil"/>
              <w:bottom w:val="single" w:color="auto" w:sz="4" w:space="0"/>
              <w:right w:val="single" w:color="auto" w:sz="4" w:space="0"/>
            </w:tcBorders>
            <w:shd w:val="clear" w:color="auto" w:fill="auto"/>
            <w:noWrap/>
            <w:vAlign w:val="center"/>
          </w:tcPr>
          <w:p>
            <w:pPr>
              <w:widowControl/>
              <w:autoSpaceDE/>
              <w:autoSpaceDN/>
              <w:jc w:val="center"/>
              <w:rPr>
                <w:b/>
                <w:bCs/>
                <w:color w:val="000000"/>
                <w:sz w:val="24"/>
              </w:rPr>
            </w:pPr>
            <w:r>
              <w:rPr>
                <w:rFonts w:hint="eastAsia"/>
                <w:b/>
                <w:bCs/>
                <w:color w:val="000000"/>
                <w:sz w:val="24"/>
              </w:rPr>
              <w:t>主要教学内容及要求</w:t>
            </w:r>
          </w:p>
        </w:tc>
        <w:tc>
          <w:tcPr>
            <w:tcW w:w="2228" w:type="dxa"/>
            <w:tcBorders>
              <w:top w:val="single" w:color="auto" w:sz="12" w:space="0"/>
              <w:left w:val="nil"/>
              <w:bottom w:val="single" w:color="auto" w:sz="4" w:space="0"/>
              <w:right w:val="single" w:color="auto" w:sz="12" w:space="0"/>
            </w:tcBorders>
            <w:shd w:val="clear" w:color="auto" w:fill="auto"/>
            <w:noWrap/>
            <w:vAlign w:val="center"/>
          </w:tcPr>
          <w:p>
            <w:pPr>
              <w:widowControl/>
              <w:autoSpaceDE/>
              <w:autoSpaceDN/>
              <w:jc w:val="center"/>
              <w:rPr>
                <w:b/>
                <w:bCs/>
                <w:color w:val="000000"/>
                <w:sz w:val="24"/>
              </w:rPr>
            </w:pPr>
            <w:r>
              <w:rPr>
                <w:rFonts w:hint="eastAsia"/>
                <w:b/>
                <w:bCs/>
                <w:color w:val="000000"/>
                <w:sz w:val="24"/>
              </w:rPr>
              <w:t>教学实施建议</w:t>
            </w:r>
          </w:p>
        </w:tc>
      </w:tr>
      <w:tr>
        <w:tblPrEx>
          <w:tblCellMar>
            <w:top w:w="15" w:type="dxa"/>
            <w:left w:w="108" w:type="dxa"/>
            <w:bottom w:w="0" w:type="dxa"/>
            <w:right w:w="108" w:type="dxa"/>
          </w:tblCellMar>
        </w:tblPrEx>
        <w:trPr>
          <w:trHeight w:val="312" w:hRule="atLeast"/>
        </w:trPr>
        <w:tc>
          <w:tcPr>
            <w:tcW w:w="1089" w:type="dxa"/>
            <w:vMerge w:val="restart"/>
            <w:tcBorders>
              <w:top w:val="nil"/>
              <w:left w:val="single" w:color="auto" w:sz="12"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1</w:t>
            </w:r>
          </w:p>
        </w:tc>
        <w:tc>
          <w:tcPr>
            <w:tcW w:w="1896" w:type="dxa"/>
            <w:vMerge w:val="restart"/>
            <w:tcBorders>
              <w:top w:val="nil"/>
              <w:left w:val="single" w:color="auto" w:sz="4" w:space="0"/>
              <w:bottom w:val="single" w:color="auto" w:sz="4" w:space="0"/>
              <w:right w:val="single" w:color="auto" w:sz="4" w:space="0"/>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音乐欣赏</w:t>
            </w:r>
          </w:p>
          <w:p>
            <w:pPr>
              <w:adjustRightInd w:val="0"/>
              <w:snapToGrid w:val="0"/>
              <w:jc w:val="center"/>
              <w:rPr>
                <w:rFonts w:cs="Times New Roman"/>
                <w:color w:val="000000"/>
                <w:kern w:val="2"/>
                <w:sz w:val="21"/>
                <w:szCs w:val="21"/>
              </w:rPr>
            </w:pPr>
            <w:r>
              <w:rPr>
                <w:rFonts w:hint="eastAsia" w:cs="Times New Roman"/>
                <w:color w:val="000000"/>
                <w:kern w:val="2"/>
                <w:sz w:val="21"/>
                <w:szCs w:val="21"/>
              </w:rPr>
              <w:t>（108课时）</w:t>
            </w:r>
          </w:p>
        </w:tc>
        <w:tc>
          <w:tcPr>
            <w:tcW w:w="4964" w:type="dxa"/>
            <w:vMerge w:val="restart"/>
            <w:tcBorders>
              <w:top w:val="nil"/>
              <w:left w:val="single" w:color="auto" w:sz="4" w:space="0"/>
              <w:bottom w:val="single" w:color="auto" w:sz="4" w:space="0"/>
              <w:right w:val="single" w:color="auto" w:sz="4" w:space="0"/>
            </w:tcBorders>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属于人文素质课，在教学中采用多媒体和各种现代化教学手段，以确保在有限的学时内，全面、高质量地完成课程教学任务。课堂讲授中要重点对基本概念、基本方法的讲解;采用启发式教学，培养学生思考问题、分析问题和解决问题的能力;引导和鼓励学生通过实践和自学获取知识，培养学生的自学能力;增加讨论课，调动学生学习的主观能动性;注意培养学生提高利用标准、规范及手册等技术资料的能力。讲课要联系实际并注重培养学生的创新能力。</w:t>
            </w:r>
          </w:p>
        </w:tc>
        <w:tc>
          <w:tcPr>
            <w:tcW w:w="2228" w:type="dxa"/>
            <w:vMerge w:val="restart"/>
            <w:tcBorders>
              <w:top w:val="nil"/>
              <w:left w:val="single" w:color="auto" w:sz="4" w:space="0"/>
              <w:bottom w:val="single" w:color="auto" w:sz="4" w:space="0"/>
              <w:right w:val="single" w:color="auto" w:sz="12" w:space="0"/>
            </w:tcBorders>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课程通过学习音乐的基本知识、了解音乐家、赏析音乐作品，增强学生对音乐的兴趣与爱好;了解音乐及有关基本知识;提高感受、理解、鉴赏音乐的能力几个模块进行，宜采用理实一体化或项目教学法。</w:t>
            </w:r>
          </w:p>
        </w:tc>
      </w:tr>
      <w:tr>
        <w:tblPrEx>
          <w:tblCellMar>
            <w:top w:w="15" w:type="dxa"/>
            <w:left w:w="108" w:type="dxa"/>
            <w:bottom w:w="0" w:type="dxa"/>
            <w:right w:w="108" w:type="dxa"/>
          </w:tblCellMar>
        </w:tblPrEx>
        <w:trPr>
          <w:trHeight w:val="312" w:hRule="atLeast"/>
        </w:trPr>
        <w:tc>
          <w:tcPr>
            <w:tcW w:w="1089" w:type="dxa"/>
            <w:vMerge w:val="continue"/>
            <w:tcBorders>
              <w:top w:val="nil"/>
              <w:left w:val="single" w:color="auto" w:sz="12"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1896"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4964"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2228" w:type="dxa"/>
            <w:vMerge w:val="continue"/>
            <w:tcBorders>
              <w:top w:val="nil"/>
              <w:left w:val="single" w:color="auto" w:sz="4" w:space="0"/>
              <w:bottom w:val="single" w:color="auto" w:sz="4" w:space="0"/>
              <w:right w:val="single" w:color="auto" w:sz="12" w:space="0"/>
            </w:tcBorders>
            <w:vAlign w:val="center"/>
          </w:tcPr>
          <w:p>
            <w:pPr>
              <w:adjustRightInd w:val="0"/>
              <w:snapToGrid w:val="0"/>
              <w:ind w:firstLine="420" w:firstLineChars="200"/>
              <w:rPr>
                <w:rFonts w:cs="Times New Roman"/>
                <w:color w:val="000000"/>
                <w:kern w:val="2"/>
                <w:sz w:val="21"/>
                <w:szCs w:val="21"/>
              </w:rPr>
            </w:pPr>
          </w:p>
        </w:tc>
      </w:tr>
      <w:tr>
        <w:tblPrEx>
          <w:tblCellMar>
            <w:top w:w="15" w:type="dxa"/>
            <w:left w:w="108" w:type="dxa"/>
            <w:bottom w:w="0" w:type="dxa"/>
            <w:right w:w="108" w:type="dxa"/>
          </w:tblCellMar>
        </w:tblPrEx>
        <w:trPr>
          <w:trHeight w:val="312" w:hRule="atLeast"/>
        </w:trPr>
        <w:tc>
          <w:tcPr>
            <w:tcW w:w="1089" w:type="dxa"/>
            <w:vMerge w:val="continue"/>
            <w:tcBorders>
              <w:top w:val="nil"/>
              <w:left w:val="single" w:color="auto" w:sz="12"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1896"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4964"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2228" w:type="dxa"/>
            <w:vMerge w:val="continue"/>
            <w:tcBorders>
              <w:top w:val="nil"/>
              <w:left w:val="single" w:color="auto" w:sz="4" w:space="0"/>
              <w:bottom w:val="single" w:color="auto" w:sz="4" w:space="0"/>
              <w:right w:val="single" w:color="auto" w:sz="12" w:space="0"/>
            </w:tcBorders>
            <w:vAlign w:val="center"/>
          </w:tcPr>
          <w:p>
            <w:pPr>
              <w:adjustRightInd w:val="0"/>
              <w:snapToGrid w:val="0"/>
              <w:ind w:firstLine="420" w:firstLineChars="200"/>
              <w:rPr>
                <w:rFonts w:cs="Times New Roman"/>
                <w:color w:val="000000"/>
                <w:kern w:val="2"/>
                <w:sz w:val="21"/>
                <w:szCs w:val="21"/>
              </w:rPr>
            </w:pPr>
          </w:p>
        </w:tc>
      </w:tr>
      <w:tr>
        <w:tblPrEx>
          <w:tblCellMar>
            <w:top w:w="15" w:type="dxa"/>
            <w:left w:w="108" w:type="dxa"/>
            <w:bottom w:w="0" w:type="dxa"/>
            <w:right w:w="108" w:type="dxa"/>
          </w:tblCellMar>
        </w:tblPrEx>
        <w:trPr>
          <w:trHeight w:val="312" w:hRule="atLeast"/>
        </w:trPr>
        <w:tc>
          <w:tcPr>
            <w:tcW w:w="1089" w:type="dxa"/>
            <w:vMerge w:val="continue"/>
            <w:tcBorders>
              <w:top w:val="nil"/>
              <w:left w:val="single" w:color="auto" w:sz="12"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1896"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4964"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2228" w:type="dxa"/>
            <w:vMerge w:val="continue"/>
            <w:tcBorders>
              <w:top w:val="nil"/>
              <w:left w:val="single" w:color="auto" w:sz="4" w:space="0"/>
              <w:bottom w:val="single" w:color="auto" w:sz="4" w:space="0"/>
              <w:right w:val="single" w:color="auto" w:sz="12" w:space="0"/>
            </w:tcBorders>
            <w:vAlign w:val="center"/>
          </w:tcPr>
          <w:p>
            <w:pPr>
              <w:adjustRightInd w:val="0"/>
              <w:snapToGrid w:val="0"/>
              <w:ind w:firstLine="420" w:firstLineChars="200"/>
              <w:rPr>
                <w:rFonts w:cs="Times New Roman"/>
                <w:color w:val="000000"/>
                <w:kern w:val="2"/>
                <w:sz w:val="21"/>
                <w:szCs w:val="21"/>
              </w:rPr>
            </w:pPr>
          </w:p>
        </w:tc>
      </w:tr>
      <w:tr>
        <w:tblPrEx>
          <w:tblCellMar>
            <w:top w:w="15" w:type="dxa"/>
            <w:left w:w="108" w:type="dxa"/>
            <w:bottom w:w="0" w:type="dxa"/>
            <w:right w:w="108" w:type="dxa"/>
          </w:tblCellMar>
        </w:tblPrEx>
        <w:trPr>
          <w:trHeight w:val="312" w:hRule="atLeast"/>
        </w:trPr>
        <w:tc>
          <w:tcPr>
            <w:tcW w:w="1089" w:type="dxa"/>
            <w:vMerge w:val="continue"/>
            <w:tcBorders>
              <w:top w:val="nil"/>
              <w:left w:val="single" w:color="auto" w:sz="12"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1896"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4964"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2228" w:type="dxa"/>
            <w:vMerge w:val="continue"/>
            <w:tcBorders>
              <w:top w:val="nil"/>
              <w:left w:val="single" w:color="auto" w:sz="4" w:space="0"/>
              <w:bottom w:val="single" w:color="auto" w:sz="4" w:space="0"/>
              <w:right w:val="single" w:color="auto" w:sz="12" w:space="0"/>
            </w:tcBorders>
            <w:vAlign w:val="center"/>
          </w:tcPr>
          <w:p>
            <w:pPr>
              <w:adjustRightInd w:val="0"/>
              <w:snapToGrid w:val="0"/>
              <w:ind w:firstLine="420" w:firstLineChars="200"/>
              <w:rPr>
                <w:rFonts w:cs="Times New Roman"/>
                <w:color w:val="000000"/>
                <w:kern w:val="2"/>
                <w:sz w:val="21"/>
                <w:szCs w:val="21"/>
              </w:rPr>
            </w:pPr>
          </w:p>
        </w:tc>
      </w:tr>
      <w:tr>
        <w:tblPrEx>
          <w:tblCellMar>
            <w:top w:w="15" w:type="dxa"/>
            <w:left w:w="108" w:type="dxa"/>
            <w:bottom w:w="0" w:type="dxa"/>
            <w:right w:w="108" w:type="dxa"/>
          </w:tblCellMar>
        </w:tblPrEx>
        <w:trPr>
          <w:trHeight w:val="312" w:hRule="atLeast"/>
        </w:trPr>
        <w:tc>
          <w:tcPr>
            <w:tcW w:w="1089" w:type="dxa"/>
            <w:vMerge w:val="continue"/>
            <w:tcBorders>
              <w:top w:val="nil"/>
              <w:left w:val="single" w:color="auto" w:sz="12"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1896"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4964" w:type="dxa"/>
            <w:vMerge w:val="continue"/>
            <w:tcBorders>
              <w:top w:val="nil"/>
              <w:left w:val="single" w:color="auto" w:sz="4" w:space="0"/>
              <w:bottom w:val="single" w:color="auto" w:sz="4" w:space="0"/>
              <w:right w:val="single" w:color="auto" w:sz="4" w:space="0"/>
            </w:tcBorders>
            <w:vAlign w:val="center"/>
          </w:tcPr>
          <w:p>
            <w:pPr>
              <w:adjustRightInd w:val="0"/>
              <w:snapToGrid w:val="0"/>
              <w:ind w:firstLine="420" w:firstLineChars="200"/>
              <w:rPr>
                <w:rFonts w:cs="Times New Roman"/>
                <w:color w:val="000000"/>
                <w:kern w:val="2"/>
                <w:sz w:val="21"/>
                <w:szCs w:val="21"/>
              </w:rPr>
            </w:pPr>
          </w:p>
        </w:tc>
        <w:tc>
          <w:tcPr>
            <w:tcW w:w="2228" w:type="dxa"/>
            <w:vMerge w:val="continue"/>
            <w:tcBorders>
              <w:top w:val="nil"/>
              <w:left w:val="single" w:color="auto" w:sz="4" w:space="0"/>
              <w:bottom w:val="single" w:color="auto" w:sz="4" w:space="0"/>
              <w:right w:val="single" w:color="auto" w:sz="12" w:space="0"/>
            </w:tcBorders>
            <w:vAlign w:val="center"/>
          </w:tcPr>
          <w:p>
            <w:pPr>
              <w:adjustRightInd w:val="0"/>
              <w:snapToGrid w:val="0"/>
              <w:ind w:firstLine="420" w:firstLineChars="200"/>
              <w:rPr>
                <w:rFonts w:cs="Times New Roman"/>
                <w:color w:val="000000"/>
                <w:kern w:val="2"/>
                <w:sz w:val="21"/>
                <w:szCs w:val="21"/>
              </w:rPr>
            </w:pPr>
          </w:p>
        </w:tc>
      </w:tr>
      <w:tr>
        <w:tblPrEx>
          <w:tblCellMar>
            <w:top w:w="15" w:type="dxa"/>
            <w:left w:w="108" w:type="dxa"/>
            <w:bottom w:w="0" w:type="dxa"/>
            <w:right w:w="108" w:type="dxa"/>
          </w:tblCellMar>
        </w:tblPrEx>
        <w:trPr>
          <w:trHeight w:val="270" w:hRule="atLeast"/>
        </w:trPr>
        <w:tc>
          <w:tcPr>
            <w:tcW w:w="1089" w:type="dxa"/>
            <w:tcBorders>
              <w:top w:val="single" w:color="auto" w:sz="4" w:space="0"/>
              <w:left w:val="single" w:color="auto" w:sz="12" w:space="0"/>
              <w:bottom w:val="single" w:color="auto" w:sz="4" w:space="0"/>
              <w:right w:val="single" w:color="auto" w:sz="4" w:space="0"/>
            </w:tcBorders>
            <w:shd w:val="clear" w:color="auto" w:fill="auto"/>
            <w:noWrap/>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2</w:t>
            </w:r>
          </w:p>
        </w:tc>
        <w:tc>
          <w:tcPr>
            <w:tcW w:w="1896"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形体与舞蹈</w:t>
            </w:r>
          </w:p>
          <w:p>
            <w:pPr>
              <w:adjustRightInd w:val="0"/>
              <w:snapToGrid w:val="0"/>
              <w:jc w:val="center"/>
              <w:rPr>
                <w:rFonts w:cs="Times New Roman"/>
                <w:color w:val="000000"/>
                <w:kern w:val="2"/>
                <w:sz w:val="21"/>
                <w:szCs w:val="21"/>
              </w:rPr>
            </w:pPr>
            <w:r>
              <w:rPr>
                <w:rFonts w:hint="eastAsia" w:cs="Times New Roman"/>
                <w:color w:val="000000"/>
                <w:kern w:val="2"/>
                <w:sz w:val="21"/>
                <w:szCs w:val="21"/>
              </w:rPr>
              <w:t>（96课时）</w:t>
            </w:r>
          </w:p>
        </w:tc>
        <w:tc>
          <w:tcPr>
            <w:tcW w:w="496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通过本课程教学，初步掌握舞蹈的基本知识，基本技能，基本理论，具有组织辅导普通中学舞蹈课的能力。通过训练使学生掌握正确的身体形态，熟悉常用的舞蹈语汇、明确选型与表现的统一，时间与空间的统一， 培养时间节奏感，发展空间运动感。增强表现能力通及审美能力，懂得了青少年排练节目的步骤和方法。</w:t>
            </w:r>
          </w:p>
        </w:tc>
        <w:tc>
          <w:tcPr>
            <w:tcW w:w="2228" w:type="dxa"/>
            <w:tcBorders>
              <w:top w:val="single" w:color="auto" w:sz="4" w:space="0"/>
              <w:left w:val="single" w:color="auto" w:sz="4" w:space="0"/>
              <w:bottom w:val="single" w:color="auto" w:sz="4" w:space="0"/>
              <w:right w:val="single" w:color="auto" w:sz="12" w:space="0"/>
            </w:tcBorders>
            <w:shd w:val="clear" w:color="auto" w:fill="auto"/>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课程按照舞蹈的基本知识，基本技能，基本理论几个模块进行，宜采用理实一体化或项目教学法。</w:t>
            </w:r>
          </w:p>
        </w:tc>
      </w:tr>
      <w:tr>
        <w:tblPrEx>
          <w:tblCellMar>
            <w:top w:w="15" w:type="dxa"/>
            <w:left w:w="108" w:type="dxa"/>
            <w:bottom w:w="0" w:type="dxa"/>
            <w:right w:w="108" w:type="dxa"/>
          </w:tblCellMar>
        </w:tblPrEx>
        <w:trPr>
          <w:trHeight w:val="270" w:hRule="atLeast"/>
        </w:trPr>
        <w:tc>
          <w:tcPr>
            <w:tcW w:w="1089" w:type="dxa"/>
            <w:tcBorders>
              <w:top w:val="single" w:color="auto" w:sz="4" w:space="0"/>
              <w:left w:val="single" w:color="auto" w:sz="12" w:space="0"/>
              <w:bottom w:val="single" w:color="auto" w:sz="4" w:space="0"/>
              <w:right w:val="single" w:color="auto" w:sz="4" w:space="0"/>
            </w:tcBorders>
            <w:shd w:val="clear" w:color="auto" w:fill="auto"/>
            <w:noWrap/>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3</w:t>
            </w:r>
          </w:p>
        </w:tc>
        <w:tc>
          <w:tcPr>
            <w:tcW w:w="1896"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艺术概论</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（64课时）</w:t>
            </w:r>
          </w:p>
        </w:tc>
        <w:tc>
          <w:tcPr>
            <w:tcW w:w="496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本课程需要自学中西方音乐史、音乐美学、中西方美术史、中外优秀文学作品以及建筑、雕塑等知识。课内习题课的安排及学时本课程每一章 节有思考题1至3道题。利用现代化教学手段内容及学时本课程均使用多媒体课件教学。对学生能力培养的要求学习《艺术概论》应该有明确的目的性,把理论学习看作是学习艺术不可缺少的一个重要方面。作为艺术院校的学生不仅要掌握熟练的艺术技巧，还要有扎实的理论基本功，这样将来才可能进行艺术创作或艺术表演。</w:t>
            </w:r>
          </w:p>
        </w:tc>
        <w:tc>
          <w:tcPr>
            <w:tcW w:w="2228" w:type="dxa"/>
            <w:tcBorders>
              <w:top w:val="single" w:color="auto" w:sz="4" w:space="0"/>
              <w:left w:val="single" w:color="auto" w:sz="4" w:space="0"/>
              <w:bottom w:val="single" w:color="auto" w:sz="4" w:space="0"/>
              <w:right w:val="single" w:color="auto" w:sz="12" w:space="0"/>
            </w:tcBorders>
            <w:shd w:val="clear" w:color="auto" w:fill="auto"/>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课程通过自学中西方音乐史、音乐美学、中西方美术史、中外优秀文学作品以及建筑、雕塑等知识模块进行，宜采用理实一体化或项目教学法。</w:t>
            </w:r>
          </w:p>
        </w:tc>
      </w:tr>
      <w:tr>
        <w:tblPrEx>
          <w:tblCellMar>
            <w:top w:w="15" w:type="dxa"/>
            <w:left w:w="108" w:type="dxa"/>
            <w:bottom w:w="0" w:type="dxa"/>
            <w:right w:w="108" w:type="dxa"/>
          </w:tblCellMar>
        </w:tblPrEx>
        <w:trPr>
          <w:trHeight w:val="270" w:hRule="atLeast"/>
        </w:trPr>
        <w:tc>
          <w:tcPr>
            <w:tcW w:w="1089" w:type="dxa"/>
            <w:tcBorders>
              <w:top w:val="single" w:color="auto" w:sz="4" w:space="0"/>
              <w:left w:val="single" w:color="auto" w:sz="12" w:space="0"/>
              <w:bottom w:val="single" w:color="auto" w:sz="4" w:space="0"/>
              <w:right w:val="single" w:color="auto" w:sz="4" w:space="0"/>
            </w:tcBorders>
            <w:shd w:val="clear" w:color="auto" w:fill="auto"/>
            <w:noWrap/>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4</w:t>
            </w:r>
          </w:p>
        </w:tc>
        <w:tc>
          <w:tcPr>
            <w:tcW w:w="1896"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化妆</w:t>
            </w:r>
          </w:p>
          <w:p>
            <w:pPr>
              <w:adjustRightInd w:val="0"/>
              <w:snapToGrid w:val="0"/>
              <w:jc w:val="center"/>
              <w:rPr>
                <w:rFonts w:cs="Times New Roman"/>
                <w:color w:val="000000"/>
                <w:kern w:val="2"/>
                <w:sz w:val="21"/>
                <w:szCs w:val="21"/>
              </w:rPr>
            </w:pPr>
            <w:r>
              <w:rPr>
                <w:rFonts w:hint="eastAsia" w:cs="Times New Roman"/>
                <w:color w:val="000000"/>
                <w:kern w:val="2"/>
                <w:sz w:val="21"/>
                <w:szCs w:val="21"/>
              </w:rPr>
              <w:t>（32课时）</w:t>
            </w:r>
          </w:p>
        </w:tc>
        <w:tc>
          <w:tcPr>
            <w:tcW w:w="496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掌握不同脸型的五官矫形方法；根据妆效设计图掌握不同化妆的技法。了解矫形化妆技巧的灵活运用和准确性，并符合人物特点和气质。</w:t>
            </w:r>
          </w:p>
        </w:tc>
        <w:tc>
          <w:tcPr>
            <w:tcW w:w="2228" w:type="dxa"/>
            <w:tcBorders>
              <w:top w:val="single" w:color="auto" w:sz="4" w:space="0"/>
              <w:left w:val="single" w:color="auto" w:sz="4" w:space="0"/>
              <w:bottom w:val="single" w:color="auto" w:sz="4" w:space="0"/>
              <w:right w:val="single" w:color="auto" w:sz="12" w:space="0"/>
            </w:tcBorders>
            <w:shd w:val="clear" w:color="auto" w:fill="auto"/>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具备一定化妆基础知识；化妆美学的鉴赏能力；熟练掌握脸部化妆的基本技能及矫正化妆的实践技能。培养学生的人物基础造型能力，为以后人物形象整体造型能力奠定基础。</w:t>
            </w:r>
          </w:p>
        </w:tc>
      </w:tr>
      <w:tr>
        <w:tblPrEx>
          <w:tblCellMar>
            <w:top w:w="15" w:type="dxa"/>
            <w:left w:w="108" w:type="dxa"/>
            <w:bottom w:w="0" w:type="dxa"/>
            <w:right w:w="108" w:type="dxa"/>
          </w:tblCellMar>
        </w:tblPrEx>
        <w:trPr>
          <w:trHeight w:val="312" w:hRule="atLeast"/>
        </w:trPr>
        <w:tc>
          <w:tcPr>
            <w:tcW w:w="1089" w:type="dxa"/>
            <w:vMerge w:val="restart"/>
            <w:tcBorders>
              <w:top w:val="single" w:color="auto" w:sz="4" w:space="0"/>
              <w:left w:val="single" w:color="auto" w:sz="12" w:space="0"/>
              <w:bottom w:val="single" w:color="000000" w:sz="12" w:space="0"/>
              <w:right w:val="single" w:color="auto" w:sz="4" w:space="0"/>
            </w:tcBorders>
            <w:vAlign w:val="center"/>
          </w:tcPr>
          <w:p>
            <w:pPr>
              <w:adjustRightInd w:val="0"/>
              <w:snapToGrid w:val="0"/>
              <w:ind w:firstLine="420" w:firstLineChars="200"/>
              <w:rPr>
                <w:bCs/>
                <w:color w:val="000000"/>
              </w:rPr>
            </w:pPr>
            <w:r>
              <w:rPr>
                <w:rFonts w:hint="eastAsia" w:cs="Times New Roman"/>
                <w:color w:val="000000"/>
                <w:kern w:val="2"/>
                <w:sz w:val="21"/>
                <w:szCs w:val="21"/>
              </w:rPr>
              <w:t>5</w:t>
            </w:r>
          </w:p>
        </w:tc>
        <w:tc>
          <w:tcPr>
            <w:tcW w:w="1896" w:type="dxa"/>
            <w:vMerge w:val="restart"/>
            <w:tcBorders>
              <w:top w:val="single" w:color="auto" w:sz="4" w:space="0"/>
              <w:left w:val="single" w:color="auto" w:sz="4" w:space="0"/>
              <w:bottom w:val="single" w:color="000000" w:sz="12" w:space="0"/>
              <w:right w:val="single" w:color="auto" w:sz="4" w:space="0"/>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视听评析</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（64课时）</w:t>
            </w:r>
          </w:p>
        </w:tc>
        <w:tc>
          <w:tcPr>
            <w:tcW w:w="4964" w:type="dxa"/>
            <w:vMerge w:val="restart"/>
            <w:tcBorders>
              <w:top w:val="single" w:color="auto" w:sz="4" w:space="0"/>
              <w:left w:val="single" w:color="auto" w:sz="4" w:space="0"/>
              <w:bottom w:val="single" w:color="000000" w:sz="12" w:space="0"/>
              <w:right w:val="single" w:color="auto" w:sz="4" w:space="0"/>
            </w:tcBorders>
            <w:vAlign w:val="center"/>
          </w:tcPr>
          <w:p>
            <w:pPr>
              <w:adjustRightInd w:val="0"/>
              <w:snapToGrid w:val="0"/>
              <w:ind w:firstLine="420" w:firstLineChars="200"/>
              <w:rPr>
                <w:bCs/>
                <w:color w:val="000000"/>
              </w:rPr>
            </w:pPr>
            <w:r>
              <w:rPr>
                <w:rFonts w:hint="eastAsia" w:cs="Times New Roman"/>
                <w:color w:val="000000"/>
                <w:kern w:val="2"/>
                <w:sz w:val="21"/>
                <w:szCs w:val="21"/>
              </w:rPr>
              <w:t>通过本课程的学习，要求学生掌握影视作品的赏析方法，针对影视作品，学会影视作品理论的学习以及学会影评写作。</w:t>
            </w:r>
          </w:p>
        </w:tc>
        <w:tc>
          <w:tcPr>
            <w:tcW w:w="2228" w:type="dxa"/>
            <w:vMerge w:val="restart"/>
            <w:tcBorders>
              <w:top w:val="single" w:color="auto" w:sz="4" w:space="0"/>
              <w:left w:val="single" w:color="auto" w:sz="4" w:space="0"/>
              <w:bottom w:val="single" w:color="000000" w:sz="12" w:space="0"/>
              <w:right w:val="single" w:color="auto" w:sz="12" w:space="0"/>
            </w:tcBorders>
            <w:vAlign w:val="center"/>
          </w:tcPr>
          <w:p>
            <w:pPr>
              <w:adjustRightInd w:val="0"/>
              <w:snapToGrid w:val="0"/>
              <w:ind w:firstLine="420" w:firstLineChars="200"/>
              <w:rPr>
                <w:bCs/>
                <w:color w:val="000000"/>
              </w:rPr>
            </w:pPr>
            <w:r>
              <w:rPr>
                <w:rFonts w:hint="eastAsia" w:cs="Times New Roman"/>
                <w:color w:val="000000"/>
                <w:kern w:val="2"/>
                <w:sz w:val="21"/>
                <w:szCs w:val="21"/>
              </w:rPr>
              <w:t>本课程按照影视作品观赏、影评写作两个板块进行学习，在课程中两个板块内容同步进行，完成一体化教学</w:t>
            </w:r>
          </w:p>
        </w:tc>
      </w:tr>
      <w:tr>
        <w:tblPrEx>
          <w:tblCellMar>
            <w:top w:w="15" w:type="dxa"/>
            <w:left w:w="108" w:type="dxa"/>
            <w:bottom w:w="0" w:type="dxa"/>
            <w:right w:w="108" w:type="dxa"/>
          </w:tblCellMar>
        </w:tblPrEx>
        <w:trPr>
          <w:trHeight w:val="312" w:hRule="atLeast"/>
        </w:trPr>
        <w:tc>
          <w:tcPr>
            <w:tcW w:w="1089" w:type="dxa"/>
            <w:vMerge w:val="continue"/>
            <w:tcBorders>
              <w:top w:val="single" w:color="auto" w:sz="4" w:space="0"/>
              <w:left w:val="single" w:color="auto" w:sz="12"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1896" w:type="dxa"/>
            <w:vMerge w:val="continue"/>
            <w:tcBorders>
              <w:top w:val="single" w:color="auto" w:sz="4" w:space="0"/>
              <w:left w:val="single" w:color="auto" w:sz="4"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4964" w:type="dxa"/>
            <w:vMerge w:val="continue"/>
            <w:tcBorders>
              <w:top w:val="single" w:color="auto" w:sz="4" w:space="0"/>
              <w:left w:val="single" w:color="auto" w:sz="4"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2228" w:type="dxa"/>
            <w:vMerge w:val="continue"/>
            <w:tcBorders>
              <w:top w:val="single" w:color="auto" w:sz="4" w:space="0"/>
              <w:left w:val="single" w:color="auto" w:sz="4" w:space="0"/>
              <w:bottom w:val="single" w:color="000000" w:sz="12" w:space="0"/>
              <w:right w:val="single" w:color="auto" w:sz="12" w:space="0"/>
            </w:tcBorders>
            <w:vAlign w:val="center"/>
          </w:tcPr>
          <w:p>
            <w:pPr>
              <w:adjustRightInd w:val="0"/>
              <w:snapToGrid w:val="0"/>
              <w:ind w:firstLine="440" w:firstLineChars="200"/>
              <w:rPr>
                <w:bCs/>
                <w:color w:val="000000"/>
              </w:rPr>
            </w:pPr>
          </w:p>
        </w:tc>
      </w:tr>
      <w:tr>
        <w:tblPrEx>
          <w:tblCellMar>
            <w:top w:w="15" w:type="dxa"/>
            <w:left w:w="108" w:type="dxa"/>
            <w:bottom w:w="0" w:type="dxa"/>
            <w:right w:w="108" w:type="dxa"/>
          </w:tblCellMar>
        </w:tblPrEx>
        <w:trPr>
          <w:trHeight w:val="312" w:hRule="atLeast"/>
        </w:trPr>
        <w:tc>
          <w:tcPr>
            <w:tcW w:w="1089" w:type="dxa"/>
            <w:vMerge w:val="continue"/>
            <w:tcBorders>
              <w:top w:val="single" w:color="auto" w:sz="4" w:space="0"/>
              <w:left w:val="single" w:color="auto" w:sz="12"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1896" w:type="dxa"/>
            <w:vMerge w:val="continue"/>
            <w:tcBorders>
              <w:top w:val="single" w:color="auto" w:sz="4" w:space="0"/>
              <w:left w:val="single" w:color="auto" w:sz="4"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4964" w:type="dxa"/>
            <w:vMerge w:val="continue"/>
            <w:tcBorders>
              <w:top w:val="single" w:color="auto" w:sz="4" w:space="0"/>
              <w:left w:val="single" w:color="auto" w:sz="4"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2228" w:type="dxa"/>
            <w:vMerge w:val="continue"/>
            <w:tcBorders>
              <w:top w:val="single" w:color="auto" w:sz="4" w:space="0"/>
              <w:left w:val="single" w:color="auto" w:sz="4" w:space="0"/>
              <w:bottom w:val="single" w:color="000000" w:sz="12" w:space="0"/>
              <w:right w:val="single" w:color="auto" w:sz="12" w:space="0"/>
            </w:tcBorders>
            <w:vAlign w:val="center"/>
          </w:tcPr>
          <w:p>
            <w:pPr>
              <w:adjustRightInd w:val="0"/>
              <w:snapToGrid w:val="0"/>
              <w:ind w:firstLine="440" w:firstLineChars="200"/>
              <w:rPr>
                <w:bCs/>
                <w:color w:val="000000"/>
              </w:rPr>
            </w:pPr>
          </w:p>
        </w:tc>
      </w:tr>
      <w:tr>
        <w:tblPrEx>
          <w:tblCellMar>
            <w:top w:w="15" w:type="dxa"/>
            <w:left w:w="108" w:type="dxa"/>
            <w:bottom w:w="0" w:type="dxa"/>
            <w:right w:w="108" w:type="dxa"/>
          </w:tblCellMar>
        </w:tblPrEx>
        <w:trPr>
          <w:trHeight w:val="312" w:hRule="atLeast"/>
        </w:trPr>
        <w:tc>
          <w:tcPr>
            <w:tcW w:w="1089" w:type="dxa"/>
            <w:vMerge w:val="continue"/>
            <w:tcBorders>
              <w:top w:val="single" w:color="auto" w:sz="4" w:space="0"/>
              <w:left w:val="single" w:color="auto" w:sz="12"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1896" w:type="dxa"/>
            <w:vMerge w:val="continue"/>
            <w:tcBorders>
              <w:top w:val="single" w:color="auto" w:sz="4" w:space="0"/>
              <w:left w:val="single" w:color="auto" w:sz="4"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4964" w:type="dxa"/>
            <w:vMerge w:val="continue"/>
            <w:tcBorders>
              <w:top w:val="single" w:color="auto" w:sz="4" w:space="0"/>
              <w:left w:val="single" w:color="auto" w:sz="4" w:space="0"/>
              <w:bottom w:val="single" w:color="000000" w:sz="12" w:space="0"/>
              <w:right w:val="single" w:color="auto" w:sz="4" w:space="0"/>
            </w:tcBorders>
            <w:vAlign w:val="center"/>
          </w:tcPr>
          <w:p>
            <w:pPr>
              <w:adjustRightInd w:val="0"/>
              <w:snapToGrid w:val="0"/>
              <w:ind w:firstLine="440" w:firstLineChars="200"/>
              <w:rPr>
                <w:bCs/>
                <w:color w:val="000000"/>
              </w:rPr>
            </w:pPr>
          </w:p>
        </w:tc>
        <w:tc>
          <w:tcPr>
            <w:tcW w:w="2228" w:type="dxa"/>
            <w:vMerge w:val="continue"/>
            <w:tcBorders>
              <w:top w:val="single" w:color="auto" w:sz="4" w:space="0"/>
              <w:left w:val="single" w:color="auto" w:sz="4" w:space="0"/>
              <w:bottom w:val="single" w:color="000000" w:sz="12" w:space="0"/>
              <w:right w:val="single" w:color="auto" w:sz="12" w:space="0"/>
            </w:tcBorders>
            <w:vAlign w:val="center"/>
          </w:tcPr>
          <w:p>
            <w:pPr>
              <w:adjustRightInd w:val="0"/>
              <w:snapToGrid w:val="0"/>
              <w:ind w:firstLine="440" w:firstLineChars="200"/>
              <w:rPr>
                <w:bCs/>
                <w:color w:val="000000"/>
              </w:rPr>
            </w:pPr>
          </w:p>
        </w:tc>
      </w:tr>
    </w:tbl>
    <w:p>
      <w:pPr>
        <w:adjustRightInd w:val="0"/>
        <w:snapToGrid w:val="0"/>
        <w:ind w:firstLine="440" w:firstLineChars="200"/>
        <w:rPr>
          <w:bCs/>
          <w:color w:val="000000"/>
        </w:rPr>
      </w:pPr>
    </w:p>
    <w:p>
      <w:pPr>
        <w:adjustRightInd w:val="0"/>
        <w:snapToGrid w:val="0"/>
        <w:spacing w:line="360" w:lineRule="exact"/>
        <w:ind w:firstLine="440" w:firstLineChars="200"/>
        <w:rPr>
          <w:bCs/>
          <w:color w:val="000000"/>
        </w:rPr>
      </w:pPr>
      <w:r>
        <w:rPr>
          <w:rFonts w:hint="eastAsia"/>
          <w:bCs/>
          <w:color w:val="000000"/>
        </w:rPr>
        <w:t>2.专业核心课程</w:t>
      </w:r>
    </w:p>
    <w:tbl>
      <w:tblPr>
        <w:tblStyle w:val="8"/>
        <w:tblW w:w="4999"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28"/>
        <w:gridCol w:w="1791"/>
        <w:gridCol w:w="4383"/>
        <w:gridCol w:w="29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5" w:type="pct"/>
            <w:tcBorders>
              <w:top w:val="single" w:color="auto" w:sz="12" w:space="0"/>
              <w:bottom w:val="single" w:color="auto" w:sz="6" w:space="0"/>
            </w:tcBorders>
            <w:vAlign w:val="center"/>
          </w:tcPr>
          <w:p>
            <w:pPr>
              <w:adjustRightInd w:val="0"/>
              <w:snapToGrid w:val="0"/>
              <w:rPr>
                <w:b/>
                <w:bCs/>
                <w:color w:val="000000"/>
                <w:sz w:val="24"/>
              </w:rPr>
            </w:pPr>
            <w:r>
              <w:rPr>
                <w:rFonts w:hint="eastAsia"/>
                <w:b/>
                <w:bCs/>
                <w:color w:val="000000"/>
                <w:sz w:val="24"/>
              </w:rPr>
              <w:t>序号</w:t>
            </w:r>
          </w:p>
        </w:tc>
        <w:tc>
          <w:tcPr>
            <w:tcW w:w="898" w:type="pct"/>
            <w:tcBorders>
              <w:top w:val="single" w:color="auto" w:sz="12" w:space="0"/>
              <w:bottom w:val="single" w:color="auto" w:sz="6" w:space="0"/>
            </w:tcBorders>
            <w:vAlign w:val="center"/>
          </w:tcPr>
          <w:p>
            <w:pPr>
              <w:adjustRightInd w:val="0"/>
              <w:snapToGrid w:val="0"/>
              <w:ind w:firstLine="482" w:firstLineChars="200"/>
              <w:rPr>
                <w:b/>
                <w:bCs/>
                <w:color w:val="000000"/>
                <w:sz w:val="24"/>
              </w:rPr>
            </w:pPr>
            <w:r>
              <w:rPr>
                <w:rFonts w:hint="eastAsia"/>
                <w:b/>
                <w:bCs/>
                <w:color w:val="000000"/>
                <w:sz w:val="24"/>
              </w:rPr>
              <w:t>课程名称</w:t>
            </w:r>
          </w:p>
        </w:tc>
        <w:tc>
          <w:tcPr>
            <w:tcW w:w="2198" w:type="pct"/>
            <w:tcBorders>
              <w:top w:val="single" w:color="auto" w:sz="12" w:space="0"/>
              <w:bottom w:val="single" w:color="auto" w:sz="6" w:space="0"/>
            </w:tcBorders>
            <w:vAlign w:val="center"/>
          </w:tcPr>
          <w:p>
            <w:pPr>
              <w:adjustRightInd w:val="0"/>
              <w:snapToGrid w:val="0"/>
              <w:ind w:firstLine="482" w:firstLineChars="200"/>
              <w:rPr>
                <w:b/>
                <w:bCs/>
                <w:color w:val="000000"/>
                <w:sz w:val="24"/>
              </w:rPr>
            </w:pPr>
            <w:r>
              <w:rPr>
                <w:rFonts w:hint="eastAsia"/>
                <w:b/>
                <w:bCs/>
                <w:color w:val="000000"/>
                <w:sz w:val="24"/>
              </w:rPr>
              <w:t>主要教学内容及要求</w:t>
            </w:r>
          </w:p>
        </w:tc>
        <w:tc>
          <w:tcPr>
            <w:tcW w:w="1487" w:type="pct"/>
            <w:tcBorders>
              <w:top w:val="single" w:color="auto" w:sz="12" w:space="0"/>
              <w:bottom w:val="single" w:color="auto" w:sz="6" w:space="0"/>
            </w:tcBorders>
            <w:vAlign w:val="center"/>
          </w:tcPr>
          <w:p>
            <w:pPr>
              <w:adjustRightInd w:val="0"/>
              <w:snapToGrid w:val="0"/>
              <w:ind w:firstLine="482" w:firstLineChars="200"/>
              <w:rPr>
                <w:b/>
                <w:bCs/>
                <w:color w:val="000000"/>
                <w:sz w:val="24"/>
              </w:rPr>
            </w:pPr>
            <w:r>
              <w:rPr>
                <w:rFonts w:hint="eastAsia"/>
                <w:b/>
                <w:bCs/>
                <w:color w:val="000000"/>
                <w:sz w:val="24"/>
              </w:rPr>
              <w:t>教学实施建议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5" w:type="pct"/>
            <w:tcBorders>
              <w:top w:val="single" w:color="auto" w:sz="6" w:space="0"/>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1</w:t>
            </w:r>
          </w:p>
        </w:tc>
        <w:tc>
          <w:tcPr>
            <w:tcW w:w="898" w:type="pct"/>
            <w:tcBorders>
              <w:top w:val="single" w:color="auto" w:sz="6" w:space="0"/>
            </w:tcBorders>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语音与发声</w:t>
            </w:r>
          </w:p>
          <w:p>
            <w:pPr>
              <w:adjustRightInd w:val="0"/>
              <w:snapToGrid w:val="0"/>
              <w:jc w:val="center"/>
              <w:rPr>
                <w:rFonts w:cs="Times New Roman"/>
                <w:color w:val="000000"/>
                <w:kern w:val="2"/>
                <w:sz w:val="21"/>
                <w:szCs w:val="21"/>
              </w:rPr>
            </w:pPr>
            <w:r>
              <w:rPr>
                <w:rFonts w:hint="eastAsia" w:cs="Times New Roman"/>
                <w:color w:val="000000"/>
                <w:kern w:val="2"/>
                <w:sz w:val="21"/>
                <w:szCs w:val="21"/>
              </w:rPr>
              <w:t>（96学时）</w:t>
            </w:r>
          </w:p>
        </w:tc>
        <w:tc>
          <w:tcPr>
            <w:tcW w:w="2198" w:type="pct"/>
            <w:tcBorders>
              <w:top w:val="single" w:color="auto" w:sz="6" w:space="0"/>
            </w:tcBorders>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 xml:space="preserve">通过本课程的教学，要求学生掌握普通话语音基本概述、语音的属性，准确理会声母和韵母的发音要领，正确识别及理解常见的语音含义。具有良好的普通话语音面貌和会话洽谈能力。  </w:t>
            </w:r>
          </w:p>
        </w:tc>
        <w:tc>
          <w:tcPr>
            <w:tcW w:w="1487" w:type="pct"/>
            <w:tcBorders>
              <w:top w:val="single" w:color="auto" w:sz="6" w:space="0"/>
            </w:tcBorders>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本课程按照发声训练，普通话声、韵、调和综合训练几个模块进行，宜采用理实一体化或项目教学法。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5"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2</w:t>
            </w:r>
          </w:p>
        </w:tc>
        <w:tc>
          <w:tcPr>
            <w:tcW w:w="898"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语言表达</w:t>
            </w:r>
          </w:p>
          <w:p>
            <w:pPr>
              <w:adjustRightInd w:val="0"/>
              <w:snapToGrid w:val="0"/>
              <w:jc w:val="center"/>
              <w:rPr>
                <w:rFonts w:cs="Times New Roman"/>
                <w:color w:val="000000"/>
                <w:kern w:val="2"/>
                <w:sz w:val="21"/>
                <w:szCs w:val="21"/>
              </w:rPr>
            </w:pPr>
            <w:r>
              <w:rPr>
                <w:rFonts w:cs="Times New Roman"/>
                <w:color w:val="000000"/>
                <w:kern w:val="2"/>
                <w:sz w:val="21"/>
                <w:szCs w:val="21"/>
              </w:rPr>
              <w:t>(</w:t>
            </w:r>
            <w:r>
              <w:rPr>
                <w:rFonts w:hint="eastAsia" w:cs="Times New Roman"/>
                <w:color w:val="000000"/>
                <w:kern w:val="2"/>
                <w:sz w:val="21"/>
                <w:szCs w:val="21"/>
              </w:rPr>
              <w:t>96学时)</w:t>
            </w:r>
          </w:p>
        </w:tc>
        <w:tc>
          <w:tcPr>
            <w:tcW w:w="2198"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通过本课程的教学，要求学生正确掌握稿件播读的各种技巧，熟练驾驭各类文稿的播读，掌握即兴口语表达的各类技巧，提高即兴口语表达能力。</w:t>
            </w:r>
          </w:p>
        </w:tc>
        <w:tc>
          <w:tcPr>
            <w:tcW w:w="1487"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本课程按照备稿、内部技巧、外部技巧、即兴口语表达几个模块进行，宜采用理实一体化或项目教学法。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5"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3</w:t>
            </w:r>
          </w:p>
        </w:tc>
        <w:tc>
          <w:tcPr>
            <w:tcW w:w="898"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节目策划</w:t>
            </w:r>
          </w:p>
          <w:p>
            <w:pPr>
              <w:adjustRightInd w:val="0"/>
              <w:snapToGrid w:val="0"/>
              <w:jc w:val="center"/>
              <w:rPr>
                <w:rFonts w:cs="Times New Roman"/>
                <w:color w:val="000000"/>
                <w:kern w:val="2"/>
                <w:sz w:val="21"/>
                <w:szCs w:val="21"/>
              </w:rPr>
            </w:pPr>
            <w:r>
              <w:rPr>
                <w:rFonts w:hint="eastAsia" w:cs="Times New Roman"/>
                <w:color w:val="000000"/>
                <w:kern w:val="2"/>
                <w:sz w:val="21"/>
                <w:szCs w:val="21"/>
              </w:rPr>
              <w:t>与主持</w:t>
            </w:r>
          </w:p>
          <w:p>
            <w:pPr>
              <w:adjustRightInd w:val="0"/>
              <w:snapToGrid w:val="0"/>
              <w:jc w:val="center"/>
              <w:rPr>
                <w:rFonts w:cs="Times New Roman"/>
                <w:color w:val="000000"/>
                <w:kern w:val="2"/>
                <w:sz w:val="21"/>
                <w:szCs w:val="21"/>
              </w:rPr>
            </w:pPr>
            <w:r>
              <w:rPr>
                <w:rFonts w:cs="Times New Roman"/>
                <w:color w:val="000000"/>
                <w:kern w:val="2"/>
                <w:sz w:val="21"/>
                <w:szCs w:val="21"/>
              </w:rPr>
              <w:t>(</w:t>
            </w:r>
            <w:r>
              <w:rPr>
                <w:rFonts w:hint="eastAsia" w:cs="Times New Roman"/>
                <w:color w:val="000000"/>
                <w:kern w:val="2"/>
                <w:sz w:val="21"/>
                <w:szCs w:val="21"/>
              </w:rPr>
              <w:t>256学时)</w:t>
            </w:r>
          </w:p>
        </w:tc>
        <w:tc>
          <w:tcPr>
            <w:tcW w:w="2198"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本课程要求学生熟练掌握各类节目的主持与语言表达技巧，培养学生策划能力，正确运用相关理论知识和技巧。</w:t>
            </w:r>
          </w:p>
        </w:tc>
        <w:tc>
          <w:tcPr>
            <w:tcW w:w="1487"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本课程按照思维训练、语言组织训练、各种形式节目主持及策划几个模块进行，宜采用理实一体化或项目教学法。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5"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4</w:t>
            </w:r>
          </w:p>
        </w:tc>
        <w:tc>
          <w:tcPr>
            <w:tcW w:w="898"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节目编辑</w:t>
            </w:r>
          </w:p>
          <w:p>
            <w:pPr>
              <w:adjustRightInd w:val="0"/>
              <w:snapToGrid w:val="0"/>
              <w:jc w:val="center"/>
              <w:rPr>
                <w:rFonts w:cs="Times New Roman"/>
                <w:color w:val="000000"/>
                <w:kern w:val="2"/>
                <w:sz w:val="21"/>
                <w:szCs w:val="21"/>
              </w:rPr>
            </w:pPr>
            <w:r>
              <w:rPr>
                <w:rFonts w:hint="eastAsia" w:cs="Times New Roman"/>
                <w:color w:val="000000"/>
                <w:kern w:val="2"/>
                <w:sz w:val="21"/>
                <w:szCs w:val="21"/>
              </w:rPr>
              <w:t>与制作</w:t>
            </w:r>
          </w:p>
          <w:p>
            <w:pPr>
              <w:adjustRightInd w:val="0"/>
              <w:snapToGrid w:val="0"/>
              <w:jc w:val="center"/>
              <w:rPr>
                <w:rFonts w:cs="Times New Roman"/>
                <w:color w:val="000000"/>
                <w:kern w:val="2"/>
                <w:sz w:val="21"/>
                <w:szCs w:val="21"/>
              </w:rPr>
            </w:pPr>
            <w:r>
              <w:rPr>
                <w:rFonts w:hint="eastAsia" w:cs="Times New Roman"/>
                <w:color w:val="000000"/>
                <w:kern w:val="2"/>
                <w:sz w:val="21"/>
                <w:szCs w:val="21"/>
              </w:rPr>
              <w:t>（256学时）</w:t>
            </w:r>
          </w:p>
        </w:tc>
        <w:tc>
          <w:tcPr>
            <w:tcW w:w="2198"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本课程主要从策划、选题、拍摄、后期制作等各个方面的学习，使学生掌握独立完成电视节目成品的制作的方法。</w:t>
            </w:r>
          </w:p>
        </w:tc>
        <w:tc>
          <w:tcPr>
            <w:tcW w:w="1487"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本课程按照策划、选题、拍摄、后期制作几个模块进行，宜采用理实一体化或项目教学法。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5"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5</w:t>
            </w:r>
          </w:p>
        </w:tc>
        <w:tc>
          <w:tcPr>
            <w:tcW w:w="898" w:type="pct"/>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配音</w:t>
            </w:r>
          </w:p>
          <w:p>
            <w:pPr>
              <w:adjustRightInd w:val="0"/>
              <w:snapToGrid w:val="0"/>
              <w:jc w:val="center"/>
              <w:rPr>
                <w:rFonts w:cs="Times New Roman"/>
                <w:color w:val="000000"/>
                <w:kern w:val="2"/>
                <w:sz w:val="21"/>
                <w:szCs w:val="21"/>
              </w:rPr>
            </w:pPr>
            <w:r>
              <w:rPr>
                <w:rFonts w:hint="eastAsia" w:cs="Times New Roman"/>
                <w:color w:val="000000"/>
                <w:kern w:val="2"/>
                <w:sz w:val="21"/>
                <w:szCs w:val="21"/>
              </w:rPr>
              <w:t>（128学时）</w:t>
            </w:r>
          </w:p>
        </w:tc>
        <w:tc>
          <w:tcPr>
            <w:tcW w:w="2198"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通过本课程的教学，使学生在综合运用有声语言的基础上掌握对电影电视、动漫、广告等各种形式的配音</w:t>
            </w:r>
          </w:p>
        </w:tc>
        <w:tc>
          <w:tcPr>
            <w:tcW w:w="1487" w:type="pct"/>
            <w:vAlign w:val="center"/>
          </w:tcPr>
          <w:p>
            <w:pPr>
              <w:adjustRightInd w:val="0"/>
              <w:snapToGrid w:val="0"/>
              <w:ind w:firstLine="420" w:firstLineChars="200"/>
              <w:rPr>
                <w:rFonts w:cs="Times New Roman"/>
                <w:color w:val="000000"/>
                <w:kern w:val="2"/>
                <w:sz w:val="21"/>
                <w:szCs w:val="21"/>
              </w:rPr>
            </w:pPr>
            <w:r>
              <w:rPr>
                <w:rFonts w:hint="eastAsia" w:cs="Times New Roman"/>
                <w:color w:val="000000"/>
                <w:kern w:val="2"/>
                <w:sz w:val="21"/>
                <w:szCs w:val="21"/>
              </w:rPr>
              <w:t>本课程按照影视配音、广告配音、动漫配音几个模块进行，宜采用理实一体化或项目教学法。</w:t>
            </w:r>
          </w:p>
        </w:tc>
      </w:tr>
    </w:tbl>
    <w:p>
      <w:pPr>
        <w:adjustRightInd w:val="0"/>
        <w:snapToGrid w:val="0"/>
        <w:ind w:firstLine="440" w:firstLineChars="200"/>
        <w:rPr>
          <w:bCs/>
          <w:color w:val="000000"/>
        </w:rPr>
      </w:pPr>
      <w:r>
        <w:rPr>
          <w:rFonts w:hint="eastAsia"/>
          <w:bCs/>
          <w:color w:val="000000"/>
        </w:rPr>
        <w:t>3.专业方向课程</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808"/>
        <w:gridCol w:w="1844"/>
        <w:gridCol w:w="4336"/>
        <w:gridCol w:w="2981"/>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c>
          <w:tcPr>
            <w:tcW w:w="837" w:type="dxa"/>
          </w:tcPr>
          <w:p>
            <w:pPr>
              <w:adjustRightInd w:val="0"/>
              <w:snapToGrid w:val="0"/>
              <w:jc w:val="both"/>
              <w:rPr>
                <w:b/>
                <w:bCs/>
                <w:color w:val="000000"/>
                <w:sz w:val="24"/>
              </w:rPr>
            </w:pPr>
            <w:r>
              <w:rPr>
                <w:rFonts w:hint="eastAsia"/>
                <w:b/>
                <w:bCs/>
                <w:color w:val="000000"/>
                <w:sz w:val="24"/>
              </w:rPr>
              <w:t>序号</w:t>
            </w:r>
          </w:p>
        </w:tc>
        <w:tc>
          <w:tcPr>
            <w:tcW w:w="1923" w:type="dxa"/>
          </w:tcPr>
          <w:p>
            <w:pPr>
              <w:adjustRightInd w:val="0"/>
              <w:snapToGrid w:val="0"/>
              <w:ind w:firstLine="482" w:firstLineChars="200"/>
              <w:jc w:val="both"/>
              <w:rPr>
                <w:b/>
                <w:bCs/>
                <w:color w:val="000000"/>
                <w:sz w:val="24"/>
              </w:rPr>
            </w:pPr>
            <w:r>
              <w:rPr>
                <w:rFonts w:hint="eastAsia"/>
                <w:b/>
                <w:bCs/>
                <w:color w:val="000000"/>
                <w:sz w:val="24"/>
              </w:rPr>
              <w:t>课程名称</w:t>
            </w:r>
          </w:p>
        </w:tc>
        <w:tc>
          <w:tcPr>
            <w:tcW w:w="4622" w:type="dxa"/>
          </w:tcPr>
          <w:p>
            <w:pPr>
              <w:adjustRightInd w:val="0"/>
              <w:snapToGrid w:val="0"/>
              <w:ind w:firstLine="482" w:firstLineChars="200"/>
              <w:jc w:val="both"/>
              <w:rPr>
                <w:b/>
                <w:bCs/>
                <w:color w:val="000000"/>
                <w:sz w:val="24"/>
              </w:rPr>
            </w:pPr>
            <w:r>
              <w:rPr>
                <w:rFonts w:hint="eastAsia"/>
                <w:b/>
                <w:bCs/>
                <w:color w:val="000000"/>
                <w:sz w:val="24"/>
              </w:rPr>
              <w:t>主要教学内容及要求</w:t>
            </w:r>
          </w:p>
        </w:tc>
        <w:tc>
          <w:tcPr>
            <w:tcW w:w="3154" w:type="dxa"/>
          </w:tcPr>
          <w:p>
            <w:pPr>
              <w:adjustRightInd w:val="0"/>
              <w:snapToGrid w:val="0"/>
              <w:ind w:firstLine="482" w:firstLineChars="200"/>
              <w:jc w:val="both"/>
              <w:rPr>
                <w:b/>
                <w:bCs/>
                <w:color w:val="000000"/>
                <w:sz w:val="24"/>
              </w:rPr>
            </w:pPr>
            <w:r>
              <w:rPr>
                <w:rFonts w:hint="eastAsia"/>
                <w:b/>
                <w:bCs/>
                <w:color w:val="000000"/>
                <w:sz w:val="24"/>
              </w:rPr>
              <w:t>教学实施意见</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rHeight w:val="90" w:hRule="atLeast"/>
        </w:trPr>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1</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互联网法律法规</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（64课时）</w:t>
            </w:r>
          </w:p>
        </w:tc>
        <w:tc>
          <w:tcPr>
            <w:tcW w:w="4622"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让学生将互联网法律法规牢记于心，不去触碰互联网中的红线。</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以理论为主，通过视频或讲座等形式，让学生牢记互联网法律法规。</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2</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电商直播</w:t>
            </w:r>
          </w:p>
          <w:p>
            <w:pPr>
              <w:adjustRightInd w:val="0"/>
              <w:snapToGrid w:val="0"/>
              <w:jc w:val="center"/>
              <w:rPr>
                <w:rFonts w:cs="Times New Roman"/>
                <w:color w:val="000000"/>
                <w:kern w:val="2"/>
                <w:sz w:val="21"/>
                <w:szCs w:val="21"/>
              </w:rPr>
            </w:pPr>
            <w:r>
              <w:rPr>
                <w:rFonts w:hint="eastAsia" w:cs="Times New Roman"/>
                <w:color w:val="000000"/>
                <w:kern w:val="2"/>
                <w:sz w:val="21"/>
                <w:szCs w:val="21"/>
              </w:rPr>
              <w:t>（32课时）</w:t>
            </w:r>
          </w:p>
          <w:p>
            <w:pPr>
              <w:adjustRightInd w:val="0"/>
              <w:snapToGrid w:val="0"/>
              <w:jc w:val="center"/>
              <w:rPr>
                <w:rFonts w:cs="Times New Roman"/>
                <w:color w:val="000000"/>
                <w:kern w:val="2"/>
                <w:sz w:val="21"/>
                <w:szCs w:val="21"/>
              </w:rPr>
            </w:pPr>
          </w:p>
        </w:tc>
        <w:tc>
          <w:tcPr>
            <w:tcW w:w="4622"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培养学生对直播有系统化的认识与了解，能够掌握应对在直播中突发的设备等一系列的故障。并且在直播中能够做到保持自身的仪态与谈吐。</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通过教学训练让学生在能够充分调动直播节奏的同时具有基本临场应变的能力。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3</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网络传播</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（64课时）</w:t>
            </w:r>
          </w:p>
        </w:tc>
        <w:tc>
          <w:tcPr>
            <w:tcW w:w="4622"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通过本课程的学习让学生掌握网络传播的内涵与意义，能够良好的利用网络传播进行信息的传播与创新。</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通过教学让学生基本具备网络传播的能力，懂得网络传播的内涵</w:t>
            </w:r>
          </w:p>
        </w:tc>
      </w:tr>
    </w:tbl>
    <w:p>
      <w:pPr>
        <w:adjustRightInd w:val="0"/>
        <w:snapToGrid w:val="0"/>
        <w:ind w:firstLine="440" w:firstLineChars="200"/>
        <w:rPr>
          <w:bCs/>
          <w:color w:val="000000"/>
        </w:rPr>
      </w:pPr>
      <w:r>
        <w:rPr>
          <w:rFonts w:hint="eastAsia"/>
          <w:bCs/>
          <w:color w:val="000000"/>
        </w:rPr>
        <w:t>4.专业技能实训课程主要教学内容及要求</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809"/>
        <w:gridCol w:w="1835"/>
        <w:gridCol w:w="4342"/>
        <w:gridCol w:w="298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b/>
                <w:bCs/>
                <w:color w:val="000000"/>
                <w:sz w:val="24"/>
              </w:rPr>
            </w:pPr>
            <w:r>
              <w:rPr>
                <w:rFonts w:hint="eastAsia"/>
                <w:b/>
                <w:bCs/>
                <w:color w:val="000000"/>
                <w:sz w:val="24"/>
              </w:rPr>
              <w:t>序号</w:t>
            </w:r>
          </w:p>
        </w:tc>
        <w:tc>
          <w:tcPr>
            <w:tcW w:w="1923" w:type="dxa"/>
            <w:vAlign w:val="center"/>
          </w:tcPr>
          <w:p>
            <w:pPr>
              <w:adjustRightInd w:val="0"/>
              <w:snapToGrid w:val="0"/>
              <w:jc w:val="center"/>
              <w:rPr>
                <w:b/>
                <w:bCs/>
                <w:color w:val="000000"/>
                <w:sz w:val="24"/>
              </w:rPr>
            </w:pPr>
            <w:r>
              <w:rPr>
                <w:rFonts w:hint="eastAsia"/>
                <w:b/>
                <w:bCs/>
                <w:color w:val="000000"/>
                <w:sz w:val="24"/>
              </w:rPr>
              <w:t>课程名称</w:t>
            </w:r>
          </w:p>
        </w:tc>
        <w:tc>
          <w:tcPr>
            <w:tcW w:w="4622" w:type="dxa"/>
            <w:vAlign w:val="center"/>
          </w:tcPr>
          <w:p>
            <w:pPr>
              <w:adjustRightInd w:val="0"/>
              <w:snapToGrid w:val="0"/>
              <w:jc w:val="center"/>
              <w:rPr>
                <w:b/>
                <w:bCs/>
                <w:color w:val="000000"/>
                <w:sz w:val="24"/>
              </w:rPr>
            </w:pPr>
            <w:r>
              <w:rPr>
                <w:rFonts w:hint="eastAsia"/>
                <w:b/>
                <w:bCs/>
                <w:color w:val="000000"/>
                <w:sz w:val="24"/>
              </w:rPr>
              <w:t>主要教学内容及要求</w:t>
            </w:r>
          </w:p>
        </w:tc>
        <w:tc>
          <w:tcPr>
            <w:tcW w:w="3154" w:type="dxa"/>
            <w:vAlign w:val="center"/>
          </w:tcPr>
          <w:p>
            <w:pPr>
              <w:adjustRightInd w:val="0"/>
              <w:snapToGrid w:val="0"/>
              <w:jc w:val="center"/>
              <w:rPr>
                <w:b/>
                <w:bCs/>
                <w:color w:val="000000"/>
                <w:sz w:val="24"/>
              </w:rPr>
            </w:pPr>
            <w:r>
              <w:rPr>
                <w:rFonts w:hint="eastAsia"/>
                <w:b/>
                <w:bCs/>
                <w:color w:val="000000"/>
                <w:sz w:val="24"/>
              </w:rPr>
              <w:t>教学实施意见</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1</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摄影与摄像</w:t>
            </w:r>
          </w:p>
          <w:p>
            <w:pPr>
              <w:adjustRightInd w:val="0"/>
              <w:snapToGrid w:val="0"/>
              <w:jc w:val="center"/>
              <w:rPr>
                <w:rFonts w:cs="Times New Roman"/>
                <w:color w:val="000000"/>
                <w:kern w:val="2"/>
                <w:sz w:val="21"/>
                <w:szCs w:val="21"/>
              </w:rPr>
            </w:pPr>
            <w:r>
              <w:rPr>
                <w:rFonts w:hint="eastAsia" w:cs="Times New Roman"/>
                <w:color w:val="000000"/>
                <w:kern w:val="2"/>
                <w:sz w:val="21"/>
                <w:szCs w:val="21"/>
              </w:rPr>
              <w:t>(32学时）</w:t>
            </w:r>
          </w:p>
        </w:tc>
        <w:tc>
          <w:tcPr>
            <w:tcW w:w="4622"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通过本课程的教学，要求学生掌握摄影与摄像的技术。准确了解摄影摄像的基础理论概念，认识手机摄影、单反摄影、摄影机录制的基本操作以及熟练掌握的方法。</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本课程按照理论教学，实践教学两种方法。按照摄影理论学习、摄影实践两个板块进行学习。</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2</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新媒体文案</w:t>
            </w:r>
          </w:p>
          <w:p>
            <w:pPr>
              <w:adjustRightInd w:val="0"/>
              <w:snapToGrid w:val="0"/>
              <w:jc w:val="center"/>
              <w:rPr>
                <w:rFonts w:cs="Times New Roman"/>
                <w:color w:val="000000"/>
                <w:kern w:val="2"/>
                <w:sz w:val="21"/>
                <w:szCs w:val="21"/>
              </w:rPr>
            </w:pPr>
            <w:r>
              <w:rPr>
                <w:rFonts w:hint="eastAsia" w:cs="Times New Roman"/>
                <w:color w:val="000000"/>
                <w:kern w:val="2"/>
                <w:sz w:val="21"/>
                <w:szCs w:val="21"/>
              </w:rPr>
              <w:t>创作与传播</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(64课时）</w:t>
            </w:r>
          </w:p>
        </w:tc>
        <w:tc>
          <w:tcPr>
            <w:tcW w:w="4622" w:type="dxa"/>
            <w:vAlign w:val="center"/>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通过课程的学习和学生知识的储备，可以让学生能够进本掌握新媒体广告文案的编写与创作。</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本课程按照创作与传播的方向，通过对新媒体与文案的了解，基本掌握文案创作传播的能力。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3</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有声语言</w:t>
            </w:r>
          </w:p>
          <w:p>
            <w:pPr>
              <w:adjustRightInd w:val="0"/>
              <w:snapToGrid w:val="0"/>
              <w:jc w:val="center"/>
              <w:rPr>
                <w:rFonts w:cs="Times New Roman"/>
                <w:color w:val="000000"/>
                <w:kern w:val="2"/>
                <w:sz w:val="21"/>
                <w:szCs w:val="21"/>
              </w:rPr>
            </w:pPr>
            <w:r>
              <w:rPr>
                <w:rFonts w:hint="eastAsia" w:cs="Times New Roman"/>
                <w:color w:val="000000"/>
                <w:kern w:val="2"/>
                <w:sz w:val="21"/>
                <w:szCs w:val="21"/>
              </w:rPr>
              <w:t>作品创作</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（64课时）</w:t>
            </w:r>
          </w:p>
        </w:tc>
        <w:tc>
          <w:tcPr>
            <w:tcW w:w="4622" w:type="dxa"/>
            <w:vAlign w:val="center"/>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通过本课程的学习，让学生掌握广播剧等有声语言作品的创作、演绎技能。</w:t>
            </w:r>
          </w:p>
        </w:tc>
        <w:tc>
          <w:tcPr>
            <w:tcW w:w="3154" w:type="dxa"/>
            <w:vAlign w:val="center"/>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本课程按照广播剧创作、广播剧演绎两大模块内容进行，宜采用理实一体化或项目教学法。</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4</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网页设计编辑</w:t>
            </w:r>
          </w:p>
          <w:p>
            <w:pPr>
              <w:adjustRightInd w:val="0"/>
              <w:snapToGrid w:val="0"/>
              <w:jc w:val="center"/>
              <w:rPr>
                <w:rFonts w:cs="Times New Roman"/>
                <w:color w:val="000000"/>
                <w:kern w:val="2"/>
                <w:sz w:val="21"/>
                <w:szCs w:val="21"/>
              </w:rPr>
            </w:pPr>
            <w:r>
              <w:rPr>
                <w:rFonts w:hint="eastAsia" w:cs="Times New Roman"/>
                <w:color w:val="000000"/>
                <w:kern w:val="2"/>
                <w:sz w:val="21"/>
                <w:szCs w:val="21"/>
              </w:rPr>
              <w:t>(32课时)</w:t>
            </w:r>
          </w:p>
        </w:tc>
        <w:tc>
          <w:tcPr>
            <w:tcW w:w="4622" w:type="dxa"/>
            <w:vAlign w:val="center"/>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通过课程的学习能够掌握三大类网页设计的美化工作，并以满足用户体验设计为目标，合理使用PS等软件进行调整。</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秉承理论与实践并行的教学方法，让学生在实践为主，理论为辅的学习中熟练掌握PS等软件与创新设计的能力。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5</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舞台管理</w:t>
            </w:r>
          </w:p>
          <w:p>
            <w:pPr>
              <w:adjustRightInd w:val="0"/>
              <w:snapToGrid w:val="0"/>
              <w:jc w:val="center"/>
              <w:rPr>
                <w:rFonts w:cs="Times New Roman"/>
                <w:color w:val="000000"/>
                <w:kern w:val="2"/>
                <w:sz w:val="21"/>
                <w:szCs w:val="21"/>
              </w:rPr>
            </w:pPr>
            <w:r>
              <w:rPr>
                <w:rFonts w:hint="eastAsia" w:cs="Times New Roman"/>
                <w:color w:val="000000"/>
                <w:kern w:val="2"/>
                <w:sz w:val="21"/>
                <w:szCs w:val="21"/>
              </w:rPr>
              <w:t>(64课时）</w:t>
            </w:r>
          </w:p>
          <w:p>
            <w:pPr>
              <w:adjustRightInd w:val="0"/>
              <w:snapToGrid w:val="0"/>
              <w:jc w:val="center"/>
              <w:rPr>
                <w:rFonts w:cs="Times New Roman"/>
                <w:color w:val="000000"/>
                <w:kern w:val="2"/>
                <w:sz w:val="21"/>
                <w:szCs w:val="21"/>
              </w:rPr>
            </w:pPr>
          </w:p>
        </w:tc>
        <w:tc>
          <w:tcPr>
            <w:tcW w:w="4622"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通过本课程的学习，能够初步掌握演出现场的各环节技术管理工作，监督控制与流程的控制，对灯光，音响，服装，道具，舞美，视频，特效，等工作的协调和管理。</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本课程遵循理论与实践两点教学法，通过实践让学生对舞台管理有基本了解能够在实践中增强学生的舞台管理方面的能力。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6</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毕业设计</w:t>
            </w:r>
          </w:p>
          <w:p>
            <w:pPr>
              <w:adjustRightInd w:val="0"/>
              <w:snapToGrid w:val="0"/>
              <w:jc w:val="center"/>
              <w:rPr>
                <w:rFonts w:cs="Times New Roman"/>
                <w:color w:val="000000"/>
                <w:kern w:val="2"/>
                <w:sz w:val="21"/>
                <w:szCs w:val="21"/>
              </w:rPr>
            </w:pPr>
            <w:r>
              <w:rPr>
                <w:rFonts w:hint="eastAsia" w:cs="Times New Roman"/>
                <w:color w:val="000000"/>
                <w:kern w:val="2"/>
                <w:sz w:val="21"/>
                <w:szCs w:val="21"/>
              </w:rPr>
              <w:t>（120学时）</w:t>
            </w:r>
          </w:p>
        </w:tc>
        <w:tc>
          <w:tcPr>
            <w:tcW w:w="4622" w:type="dxa"/>
            <w:vAlign w:val="center"/>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毕业设计主要由毕业设计作品与毕业汇报组成。播音主持方向主要是将有声语言与副语言融入进播音与主持作品中；完成毕业展演。毕业设计作品主要为制作不同类型的完整的节目作品，内容主要是学生利用专业能力在策划、主持表达、剪辑等综合能力方木阿宝对学生进行要求。</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毕业作品必须由毕业生本人在指导教师的指导下按要求完成，指导老师必须具备专业播音主持表演指导能力。毕业作品应遵守国家有关法律、法规的规定，符合民族文化传统、公共道德价值、行业规范，作品要求具有独创性、表现力，严禁弄虚作假、抄袭等不良行为。</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37"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7</w:t>
            </w:r>
          </w:p>
        </w:tc>
        <w:tc>
          <w:tcPr>
            <w:tcW w:w="1923" w:type="dxa"/>
            <w:vAlign w:val="center"/>
          </w:tcPr>
          <w:p>
            <w:pPr>
              <w:adjustRightInd w:val="0"/>
              <w:snapToGrid w:val="0"/>
              <w:jc w:val="center"/>
              <w:rPr>
                <w:rFonts w:cs="Times New Roman"/>
                <w:color w:val="000000"/>
                <w:kern w:val="2"/>
                <w:sz w:val="21"/>
                <w:szCs w:val="21"/>
              </w:rPr>
            </w:pPr>
            <w:r>
              <w:rPr>
                <w:rFonts w:hint="eastAsia" w:cs="Times New Roman"/>
                <w:color w:val="000000"/>
                <w:kern w:val="2"/>
                <w:sz w:val="21"/>
                <w:szCs w:val="21"/>
              </w:rPr>
              <w:t>顶岗实习</w:t>
            </w:r>
          </w:p>
          <w:p>
            <w:pPr>
              <w:adjustRightInd w:val="0"/>
              <w:snapToGrid w:val="0"/>
              <w:jc w:val="center"/>
              <w:rPr>
                <w:rFonts w:cs="Times New Roman"/>
                <w:color w:val="000000"/>
                <w:kern w:val="2"/>
                <w:sz w:val="21"/>
                <w:szCs w:val="21"/>
              </w:rPr>
            </w:pPr>
            <w:r>
              <w:rPr>
                <w:rFonts w:hint="eastAsia" w:cs="Times New Roman"/>
                <w:color w:val="000000"/>
                <w:kern w:val="2"/>
                <w:sz w:val="21"/>
                <w:szCs w:val="21"/>
              </w:rPr>
              <w:t>（420学时）</w:t>
            </w:r>
          </w:p>
        </w:tc>
        <w:tc>
          <w:tcPr>
            <w:tcW w:w="4622" w:type="dxa"/>
            <w:vAlign w:val="center"/>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安排到恐龙园、嬉戏谷、淹城、展览馆担任讲解员或主持培训机构培训机构相关工作。综合运用本专业所学的知识和技能，以完成一定的工作任务，获得表演类技术岗位工作责任、专业能力、工作能力锻炼。</w:t>
            </w:r>
          </w:p>
        </w:tc>
        <w:tc>
          <w:tcPr>
            <w:tcW w:w="3154" w:type="dxa"/>
          </w:tcPr>
          <w:p>
            <w:pPr>
              <w:adjustRightInd w:val="0"/>
              <w:snapToGrid w:val="0"/>
              <w:ind w:firstLine="420" w:firstLineChars="200"/>
              <w:jc w:val="both"/>
              <w:rPr>
                <w:rFonts w:cs="Times New Roman"/>
                <w:color w:val="000000"/>
                <w:kern w:val="2"/>
                <w:sz w:val="21"/>
                <w:szCs w:val="21"/>
              </w:rPr>
            </w:pPr>
            <w:r>
              <w:rPr>
                <w:rFonts w:hint="eastAsia" w:cs="Times New Roman"/>
                <w:color w:val="000000"/>
                <w:kern w:val="2"/>
                <w:sz w:val="21"/>
                <w:szCs w:val="21"/>
              </w:rPr>
              <w:t>通过训练，让学生体验工作岗位职责、要求和团队精神、单位文化，提升专业职业素养，增强专业应用能力、专业操作能力和岗位适应能力。</w:t>
            </w:r>
          </w:p>
        </w:tc>
      </w:tr>
    </w:tbl>
    <w:p>
      <w:pPr>
        <w:widowControl/>
        <w:spacing w:line="360" w:lineRule="exact"/>
        <w:ind w:firstLine="442" w:firstLineChars="200"/>
        <w:rPr>
          <w:b/>
          <w:bCs/>
        </w:rPr>
      </w:pPr>
      <w:r>
        <w:rPr>
          <w:rFonts w:hint="eastAsia"/>
          <w:b/>
          <w:bCs/>
        </w:rPr>
        <w:t>七、教学进程总体安排表</w:t>
      </w:r>
    </w:p>
    <w:p>
      <w:pPr>
        <w:widowControl/>
        <w:spacing w:line="360" w:lineRule="exact"/>
        <w:ind w:firstLine="442" w:firstLineChars="200"/>
        <w:rPr>
          <w:rFonts w:cs="Times New Roman"/>
          <w:b/>
          <w:bCs/>
          <w:color w:val="000000"/>
          <w:kern w:val="2"/>
          <w:sz w:val="21"/>
          <w:szCs w:val="21"/>
        </w:rPr>
      </w:pPr>
      <w:r>
        <w:rPr>
          <w:rFonts w:hint="eastAsia"/>
          <w:b/>
          <w:bCs/>
        </w:rPr>
        <w:t>(一)教学时间表（按周分配）</w:t>
      </w:r>
    </w:p>
    <w:tbl>
      <w:tblPr>
        <w:tblStyle w:val="8"/>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643"/>
        <w:gridCol w:w="721"/>
        <w:gridCol w:w="567"/>
        <w:gridCol w:w="1685"/>
        <w:gridCol w:w="581"/>
        <w:gridCol w:w="930"/>
        <w:gridCol w:w="570"/>
        <w:gridCol w:w="751"/>
        <w:gridCol w:w="735"/>
        <w:gridCol w:w="1002"/>
        <w:gridCol w:w="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学</w:t>
            </w:r>
          </w:p>
          <w:p>
            <w:pPr>
              <w:pStyle w:val="71"/>
              <w:widowControl/>
              <w:autoSpaceDE/>
              <w:spacing w:line="360" w:lineRule="exact"/>
              <w:rPr>
                <w:rFonts w:ascii="仿宋"/>
                <w:sz w:val="21"/>
                <w:szCs w:val="21"/>
              </w:rPr>
            </w:pPr>
            <w:r>
              <w:rPr>
                <w:rFonts w:hint="eastAsia" w:ascii="仿宋"/>
                <w:sz w:val="21"/>
                <w:szCs w:val="21"/>
              </w:rPr>
              <w:t>期</w:t>
            </w:r>
          </w:p>
        </w:tc>
        <w:tc>
          <w:tcPr>
            <w:tcW w:w="643" w:type="dxa"/>
            <w:vMerge w:val="restart"/>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left="-136" w:leftChars="-62" w:right="-97" w:rightChars="-44" w:firstLine="2"/>
              <w:rPr>
                <w:rFonts w:ascii="仿宋"/>
                <w:sz w:val="21"/>
                <w:szCs w:val="21"/>
              </w:rPr>
            </w:pPr>
            <w:r>
              <w:rPr>
                <w:rFonts w:hint="eastAsia" w:ascii="仿宋"/>
                <w:sz w:val="21"/>
                <w:szCs w:val="21"/>
              </w:rPr>
              <w:t>学期</w:t>
            </w:r>
          </w:p>
          <w:p>
            <w:pPr>
              <w:pStyle w:val="71"/>
              <w:widowControl/>
              <w:autoSpaceDE/>
              <w:spacing w:line="360" w:lineRule="exact"/>
              <w:ind w:left="-136" w:leftChars="-62" w:right="-97" w:rightChars="-44" w:firstLine="2"/>
              <w:rPr>
                <w:rFonts w:ascii="仿宋"/>
                <w:sz w:val="21"/>
                <w:szCs w:val="21"/>
              </w:rPr>
            </w:pPr>
            <w:r>
              <w:rPr>
                <w:rFonts w:hint="eastAsia" w:ascii="仿宋"/>
                <w:sz w:val="21"/>
                <w:szCs w:val="21"/>
              </w:rPr>
              <w:t>周数</w:t>
            </w:r>
          </w:p>
        </w:tc>
        <w:tc>
          <w:tcPr>
            <w:tcW w:w="1288" w:type="dxa"/>
            <w:gridSpan w:val="2"/>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理论教学</w:t>
            </w:r>
          </w:p>
        </w:tc>
        <w:tc>
          <w:tcPr>
            <w:tcW w:w="5252" w:type="dxa"/>
            <w:gridSpan w:val="6"/>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实  践  教  学</w:t>
            </w:r>
          </w:p>
        </w:tc>
        <w:tc>
          <w:tcPr>
            <w:tcW w:w="1002" w:type="dxa"/>
            <w:vMerge w:val="restart"/>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left="-99" w:leftChars="-45" w:firstLine="25" w:firstLineChars="12"/>
              <w:rPr>
                <w:rFonts w:ascii="仿宋"/>
                <w:sz w:val="21"/>
                <w:szCs w:val="21"/>
              </w:rPr>
            </w:pPr>
            <w:r>
              <w:rPr>
                <w:rFonts w:hint="eastAsia" w:ascii="仿宋"/>
                <w:sz w:val="21"/>
                <w:szCs w:val="21"/>
              </w:rPr>
              <w:t>入学教育</w:t>
            </w:r>
          </w:p>
          <w:p>
            <w:pPr>
              <w:pStyle w:val="71"/>
              <w:widowControl/>
              <w:autoSpaceDE/>
              <w:spacing w:line="360" w:lineRule="exact"/>
              <w:ind w:left="-99" w:leftChars="-45" w:firstLine="25" w:firstLineChars="12"/>
              <w:rPr>
                <w:rFonts w:ascii="仿宋"/>
                <w:sz w:val="21"/>
                <w:szCs w:val="21"/>
              </w:rPr>
            </w:pPr>
            <w:r>
              <w:rPr>
                <w:rFonts w:hint="eastAsia" w:ascii="仿宋"/>
                <w:sz w:val="21"/>
                <w:szCs w:val="21"/>
              </w:rPr>
              <w:t>与</w:t>
            </w:r>
          </w:p>
          <w:p>
            <w:pPr>
              <w:pStyle w:val="71"/>
              <w:widowControl/>
              <w:autoSpaceDE/>
              <w:spacing w:line="360" w:lineRule="exact"/>
              <w:ind w:left="-99" w:leftChars="-45" w:firstLine="25" w:firstLineChars="12"/>
              <w:rPr>
                <w:rFonts w:ascii="仿宋"/>
                <w:sz w:val="21"/>
                <w:szCs w:val="21"/>
              </w:rPr>
            </w:pPr>
            <w:r>
              <w:rPr>
                <w:rFonts w:hint="eastAsia" w:ascii="仿宋"/>
                <w:sz w:val="21"/>
                <w:szCs w:val="21"/>
              </w:rPr>
              <w:t>军训</w:t>
            </w:r>
          </w:p>
        </w:tc>
        <w:tc>
          <w:tcPr>
            <w:tcW w:w="570" w:type="dxa"/>
            <w:vMerge w:val="restart"/>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劳动/机</w:t>
            </w:r>
          </w:p>
          <w:p>
            <w:pPr>
              <w:pStyle w:val="71"/>
              <w:widowControl/>
              <w:autoSpaceDE/>
              <w:spacing w:line="360" w:lineRule="exact"/>
              <w:rPr>
                <w:rFonts w:ascii="仿宋"/>
                <w:sz w:val="21"/>
                <w:szCs w:val="21"/>
              </w:rPr>
            </w:pPr>
            <w:r>
              <w:rPr>
                <w:rFonts w:hint="eastAsia" w:ascii="仿宋"/>
                <w:sz w:val="21"/>
                <w:szCs w:val="21"/>
              </w:rPr>
              <w:t>动</w:t>
            </w:r>
          </w:p>
          <w:p>
            <w:pPr>
              <w:pStyle w:val="71"/>
              <w:widowControl/>
              <w:autoSpaceDE/>
              <w:spacing w:line="360" w:lineRule="exact"/>
              <w:rPr>
                <w:rFonts w:ascii="仿宋"/>
                <w:sz w:val="21"/>
                <w:szCs w:val="21"/>
              </w:rPr>
            </w:pPr>
            <w:r>
              <w:rPr>
                <w:rFonts w:hint="eastAsia" w:ascii="仿宋"/>
                <w:sz w:val="21"/>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c>
          <w:tcPr>
            <w:tcW w:w="643"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c>
          <w:tcPr>
            <w:tcW w:w="721" w:type="dxa"/>
            <w:vMerge w:val="restart"/>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left="-136" w:leftChars="-62" w:right="-97" w:rightChars="-44" w:firstLine="2"/>
              <w:rPr>
                <w:rFonts w:ascii="仿宋"/>
                <w:sz w:val="21"/>
                <w:szCs w:val="21"/>
              </w:rPr>
            </w:pPr>
            <w:r>
              <w:rPr>
                <w:rFonts w:hint="eastAsia" w:ascii="仿宋"/>
                <w:sz w:val="21"/>
                <w:szCs w:val="21"/>
              </w:rPr>
              <w:t>授课</w:t>
            </w:r>
          </w:p>
          <w:p>
            <w:pPr>
              <w:pStyle w:val="71"/>
              <w:widowControl/>
              <w:autoSpaceDE/>
              <w:spacing w:line="360" w:lineRule="exact"/>
              <w:ind w:left="-136" w:leftChars="-62" w:right="-97" w:rightChars="-44" w:firstLine="2"/>
              <w:rPr>
                <w:rFonts w:ascii="仿宋"/>
                <w:sz w:val="21"/>
                <w:szCs w:val="21"/>
              </w:rPr>
            </w:pPr>
            <w:r>
              <w:rPr>
                <w:rFonts w:hint="eastAsia" w:ascii="仿宋"/>
                <w:sz w:val="21"/>
                <w:szCs w:val="21"/>
              </w:rPr>
              <w:t>周数</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left="-2" w:leftChars="-1" w:right="-143" w:rightChars="-65"/>
              <w:rPr>
                <w:rFonts w:ascii="仿宋"/>
                <w:sz w:val="21"/>
                <w:szCs w:val="21"/>
              </w:rPr>
            </w:pPr>
            <w:r>
              <w:rPr>
                <w:rFonts w:hint="eastAsia" w:ascii="仿宋"/>
                <w:sz w:val="21"/>
                <w:szCs w:val="21"/>
              </w:rPr>
              <w:t>考试周数</w:t>
            </w:r>
          </w:p>
        </w:tc>
        <w:tc>
          <w:tcPr>
            <w:tcW w:w="2266" w:type="dxa"/>
            <w:gridSpan w:val="2"/>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技能训练</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课程设计</w:t>
            </w:r>
          </w:p>
          <w:p>
            <w:pPr>
              <w:pStyle w:val="71"/>
              <w:widowControl/>
              <w:autoSpaceDE/>
              <w:snapToGrid w:val="0"/>
              <w:spacing w:line="360" w:lineRule="exact"/>
              <w:rPr>
                <w:rFonts w:ascii="仿宋"/>
                <w:sz w:val="21"/>
                <w:szCs w:val="21"/>
              </w:rPr>
            </w:pPr>
            <w:r>
              <w:rPr>
                <w:rFonts w:hint="eastAsia" w:ascii="仿宋"/>
                <w:sz w:val="21"/>
                <w:szCs w:val="21"/>
              </w:rPr>
              <w:t>毕业设计（论文）</w:t>
            </w:r>
          </w:p>
        </w:tc>
        <w:tc>
          <w:tcPr>
            <w:tcW w:w="1486" w:type="dxa"/>
            <w:gridSpan w:val="2"/>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企业见习</w:t>
            </w:r>
          </w:p>
          <w:p>
            <w:pPr>
              <w:pStyle w:val="71"/>
              <w:widowControl/>
              <w:autoSpaceDE/>
              <w:snapToGrid w:val="0"/>
              <w:spacing w:line="360" w:lineRule="exact"/>
              <w:rPr>
                <w:rFonts w:ascii="仿宋"/>
                <w:sz w:val="21"/>
                <w:szCs w:val="21"/>
              </w:rPr>
            </w:pPr>
            <w:r>
              <w:rPr>
                <w:rFonts w:hint="eastAsia" w:ascii="仿宋"/>
                <w:sz w:val="21"/>
                <w:szCs w:val="21"/>
              </w:rPr>
              <w:t>顶岗实习</w:t>
            </w:r>
          </w:p>
        </w:tc>
        <w:tc>
          <w:tcPr>
            <w:tcW w:w="1002"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c>
          <w:tcPr>
            <w:tcW w:w="643"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c>
          <w:tcPr>
            <w:tcW w:w="721"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c>
          <w:tcPr>
            <w:tcW w:w="1685"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内容</w:t>
            </w:r>
          </w:p>
        </w:tc>
        <w:tc>
          <w:tcPr>
            <w:tcW w:w="581"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left="-6" w:leftChars="-60" w:right="-165" w:rightChars="-75" w:hanging="126" w:hangingChars="60"/>
              <w:rPr>
                <w:rFonts w:ascii="仿宋"/>
                <w:sz w:val="21"/>
                <w:szCs w:val="21"/>
              </w:rPr>
            </w:pPr>
            <w:r>
              <w:rPr>
                <w:rFonts w:hint="eastAsia" w:ascii="仿宋"/>
                <w:sz w:val="21"/>
                <w:szCs w:val="21"/>
              </w:rPr>
              <w:t>周数</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内容</w:t>
            </w: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left="-8" w:leftChars="-69" w:right="-141" w:rightChars="-64" w:hanging="144" w:hangingChars="69"/>
              <w:rPr>
                <w:rFonts w:ascii="仿宋"/>
                <w:sz w:val="21"/>
                <w:szCs w:val="21"/>
              </w:rPr>
            </w:pPr>
            <w:r>
              <w:rPr>
                <w:rFonts w:hint="eastAsia" w:ascii="仿宋"/>
                <w:sz w:val="21"/>
                <w:szCs w:val="21"/>
              </w:rPr>
              <w:t>周数</w:t>
            </w:r>
          </w:p>
        </w:tc>
        <w:tc>
          <w:tcPr>
            <w:tcW w:w="751"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内容</w:t>
            </w:r>
          </w:p>
        </w:tc>
        <w:tc>
          <w:tcPr>
            <w:tcW w:w="735"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周数</w:t>
            </w: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left="-3" w:leftChars="-32" w:hanging="67" w:hangingChars="32"/>
              <w:rPr>
                <w:rFonts w:ascii="仿宋"/>
                <w:sz w:val="21"/>
                <w:szCs w:val="21"/>
              </w:rPr>
            </w:pPr>
            <w:r>
              <w:rPr>
                <w:rFonts w:hint="eastAsia" w:ascii="仿宋"/>
                <w:sz w:val="21"/>
                <w:szCs w:val="21"/>
              </w:rPr>
              <w:t>周数</w:t>
            </w:r>
          </w:p>
        </w:tc>
        <w:tc>
          <w:tcPr>
            <w:tcW w:w="570" w:type="dxa"/>
            <w:vMerge w:val="continue"/>
            <w:tcBorders>
              <w:top w:val="single" w:color="auto" w:sz="4" w:space="0"/>
              <w:left w:val="single" w:color="auto" w:sz="4" w:space="0"/>
              <w:bottom w:val="single" w:color="auto" w:sz="4" w:space="0"/>
              <w:right w:val="single" w:color="auto" w:sz="4" w:space="0"/>
            </w:tcBorders>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一</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sz w:val="21"/>
                <w:szCs w:val="21"/>
              </w:rPr>
            </w:pPr>
            <w:r>
              <w:rPr>
                <w:rFonts w:hint="eastAsia" w:hAnsi="宋体"/>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摄影与摄像</w:t>
            </w:r>
          </w:p>
        </w:tc>
        <w:tc>
          <w:tcPr>
            <w:tcW w:w="58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ind w:right="-139" w:rightChars="-63" w:firstLine="105" w:firstLineChars="50"/>
              <w:jc w:val="both"/>
              <w:rPr>
                <w:rFonts w:ascii="仿宋"/>
                <w:kern w:val="2"/>
                <w:sz w:val="21"/>
                <w:szCs w:val="21"/>
              </w:rPr>
            </w:pPr>
            <w:r>
              <w:rPr>
                <w:rFonts w:hint="eastAsia" w:ascii="仿宋"/>
                <w:kern w:val="2"/>
                <w:sz w:val="21"/>
                <w:szCs w:val="21"/>
              </w:rPr>
              <w:t>1</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w:t>
            </w: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二</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摄影与摄像</w:t>
            </w:r>
          </w:p>
        </w:tc>
        <w:tc>
          <w:tcPr>
            <w:tcW w:w="58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Cs w:val="21"/>
              </w:rPr>
            </w:pPr>
            <w:r>
              <w:rPr>
                <w:rFonts w:hint="eastAsia"/>
                <w:szCs w:val="21"/>
              </w:rPr>
              <w:t>1</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 xml:space="preserve">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585" w:type="dxa"/>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三</w:t>
            </w:r>
          </w:p>
        </w:tc>
        <w:tc>
          <w:tcPr>
            <w:tcW w:w="643" w:type="dxa"/>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tcBorders>
              <w:top w:val="single" w:color="auto" w:sz="4" w:space="0"/>
              <w:left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right w:val="single" w:color="auto" w:sz="4" w:space="0"/>
            </w:tcBorders>
            <w:vAlign w:val="center"/>
          </w:tcPr>
          <w:p>
            <w:pPr>
              <w:pStyle w:val="71"/>
              <w:spacing w:line="360" w:lineRule="exact"/>
              <w:ind w:right="-136" w:rightChars="-62"/>
              <w:rPr>
                <w:rFonts w:ascii="仿宋"/>
                <w:kern w:val="2"/>
                <w:sz w:val="21"/>
                <w:szCs w:val="21"/>
              </w:rPr>
            </w:pPr>
            <w:r>
              <w:rPr>
                <w:rFonts w:hint="eastAsia" w:ascii="仿宋"/>
                <w:kern w:val="2"/>
                <w:sz w:val="21"/>
                <w:szCs w:val="21"/>
              </w:rPr>
              <w:t>摄影与摄像</w:t>
            </w:r>
          </w:p>
        </w:tc>
        <w:tc>
          <w:tcPr>
            <w:tcW w:w="58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Cs w:val="21"/>
              </w:rPr>
            </w:pPr>
            <w:r>
              <w:rPr>
                <w:rFonts w:hint="eastAsia"/>
                <w:szCs w:val="21"/>
              </w:rPr>
              <w:t>1</w:t>
            </w:r>
          </w:p>
        </w:tc>
        <w:tc>
          <w:tcPr>
            <w:tcW w:w="930" w:type="dxa"/>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四</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摄影与摄像</w:t>
            </w:r>
          </w:p>
        </w:tc>
        <w:tc>
          <w:tcPr>
            <w:tcW w:w="58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1</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五</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新媒体文案创作与传播</w:t>
            </w:r>
          </w:p>
        </w:tc>
        <w:tc>
          <w:tcPr>
            <w:tcW w:w="58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2</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585"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六</w:t>
            </w:r>
          </w:p>
        </w:tc>
        <w:tc>
          <w:tcPr>
            <w:tcW w:w="643"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vMerge w:val="restart"/>
            <w:tcBorders>
              <w:top w:val="single" w:color="auto" w:sz="4" w:space="0"/>
              <w:left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新媒体文案创作与传播</w:t>
            </w:r>
          </w:p>
        </w:tc>
        <w:tc>
          <w:tcPr>
            <w:tcW w:w="581" w:type="dxa"/>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2</w:t>
            </w:r>
          </w:p>
        </w:tc>
        <w:tc>
          <w:tcPr>
            <w:tcW w:w="930"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585"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643"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721" w:type="dxa"/>
            <w:vMerge w:val="continue"/>
            <w:tcBorders>
              <w:left w:val="single" w:color="auto" w:sz="4" w:space="0"/>
              <w:bottom w:val="single" w:color="auto" w:sz="4" w:space="0"/>
              <w:right w:val="single" w:color="auto" w:sz="4" w:space="0"/>
            </w:tcBorders>
            <w:vAlign w:val="center"/>
          </w:tcPr>
          <w:p>
            <w:pPr>
              <w:widowControl/>
              <w:spacing w:line="360" w:lineRule="exact"/>
              <w:jc w:val="center"/>
              <w:rPr>
                <w:szCs w:val="21"/>
              </w:rPr>
            </w:pPr>
          </w:p>
        </w:tc>
        <w:tc>
          <w:tcPr>
            <w:tcW w:w="567" w:type="dxa"/>
            <w:vMerge w:val="continue"/>
            <w:tcBorders>
              <w:left w:val="single" w:color="auto" w:sz="4" w:space="0"/>
              <w:bottom w:val="single" w:color="auto" w:sz="4" w:space="0"/>
              <w:right w:val="single" w:color="auto" w:sz="4" w:space="0"/>
            </w:tcBorders>
            <w:vAlign w:val="center"/>
          </w:tcPr>
          <w:p>
            <w:pPr>
              <w:pStyle w:val="71"/>
              <w:spacing w:line="360" w:lineRule="exact"/>
              <w:rPr>
                <w:rFonts w:hAnsi="宋体"/>
                <w:color w:val="000000"/>
                <w:sz w:val="21"/>
                <w:szCs w:val="21"/>
              </w:rPr>
            </w:pP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有声语言作品创作</w:t>
            </w:r>
          </w:p>
        </w:tc>
        <w:tc>
          <w:tcPr>
            <w:tcW w:w="581" w:type="dxa"/>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2</w:t>
            </w:r>
          </w:p>
        </w:tc>
        <w:tc>
          <w:tcPr>
            <w:tcW w:w="930"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七</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ind w:left="420" w:hanging="420" w:hangingChars="200"/>
              <w:jc w:val="left"/>
              <w:rPr>
                <w:rFonts w:ascii="仿宋"/>
                <w:kern w:val="2"/>
                <w:sz w:val="21"/>
                <w:szCs w:val="21"/>
              </w:rPr>
            </w:pPr>
            <w:r>
              <w:rPr>
                <w:rFonts w:hint="eastAsia" w:ascii="仿宋"/>
                <w:kern w:val="2"/>
                <w:sz w:val="21"/>
                <w:szCs w:val="21"/>
              </w:rPr>
              <w:t>有声语言作品创作</w:t>
            </w:r>
          </w:p>
        </w:tc>
        <w:tc>
          <w:tcPr>
            <w:tcW w:w="58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2</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八</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舞台管理</w:t>
            </w:r>
          </w:p>
        </w:tc>
        <w:tc>
          <w:tcPr>
            <w:tcW w:w="58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2</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585"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九</w:t>
            </w:r>
          </w:p>
        </w:tc>
        <w:tc>
          <w:tcPr>
            <w:tcW w:w="643"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ind w:firstLine="105" w:firstLineChars="50"/>
              <w:jc w:val="both"/>
              <w:rPr>
                <w:rFonts w:ascii="仿宋"/>
                <w:sz w:val="21"/>
                <w:szCs w:val="21"/>
              </w:rPr>
            </w:pPr>
            <w:r>
              <w:rPr>
                <w:rFonts w:hint="eastAsia" w:ascii="仿宋"/>
                <w:sz w:val="21"/>
                <w:szCs w:val="21"/>
              </w:rPr>
              <w:t>20</w:t>
            </w:r>
          </w:p>
        </w:tc>
        <w:tc>
          <w:tcPr>
            <w:tcW w:w="721" w:type="dxa"/>
            <w:vMerge w:val="restart"/>
            <w:tcBorders>
              <w:top w:val="single" w:color="auto" w:sz="4" w:space="0"/>
              <w:left w:val="single" w:color="auto" w:sz="4" w:space="0"/>
              <w:right w:val="single" w:color="auto" w:sz="4" w:space="0"/>
            </w:tcBorders>
            <w:vAlign w:val="center"/>
          </w:tcPr>
          <w:p>
            <w:pPr>
              <w:widowControl/>
              <w:spacing w:line="360" w:lineRule="exact"/>
              <w:jc w:val="center"/>
              <w:rPr>
                <w:szCs w:val="21"/>
              </w:rPr>
            </w:pPr>
            <w:r>
              <w:rPr>
                <w:rFonts w:hint="eastAsia"/>
                <w:szCs w:val="21"/>
              </w:rPr>
              <w:t>16</w:t>
            </w:r>
          </w:p>
        </w:tc>
        <w:tc>
          <w:tcPr>
            <w:tcW w:w="567"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sz w:val="21"/>
                <w:szCs w:val="21"/>
              </w:rPr>
            </w:pPr>
            <w:r>
              <w:rPr>
                <w:rFonts w:hint="eastAsia" w:hAnsi="宋体"/>
                <w:color w:val="000000"/>
                <w:sz w:val="21"/>
                <w:szCs w:val="21"/>
              </w:rPr>
              <w:t>1</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舞台管理</w:t>
            </w:r>
          </w:p>
        </w:tc>
        <w:tc>
          <w:tcPr>
            <w:tcW w:w="581" w:type="dxa"/>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2</w:t>
            </w:r>
          </w:p>
        </w:tc>
        <w:tc>
          <w:tcPr>
            <w:tcW w:w="930"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毕业汇报</w:t>
            </w:r>
          </w:p>
        </w:tc>
        <w:tc>
          <w:tcPr>
            <w:tcW w:w="570"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4</w:t>
            </w:r>
          </w:p>
        </w:tc>
        <w:tc>
          <w:tcPr>
            <w:tcW w:w="751"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vMerge w:val="restart"/>
            <w:tcBorders>
              <w:top w:val="single" w:color="auto" w:sz="4" w:space="0"/>
              <w:left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vMerge w:val="restart"/>
            <w:tcBorders>
              <w:top w:val="single" w:color="auto" w:sz="4" w:space="0"/>
              <w:left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585"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643"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ind w:firstLine="105" w:firstLineChars="50"/>
              <w:jc w:val="both"/>
              <w:rPr>
                <w:rFonts w:ascii="仿宋"/>
                <w:sz w:val="21"/>
                <w:szCs w:val="21"/>
              </w:rPr>
            </w:pPr>
          </w:p>
        </w:tc>
        <w:tc>
          <w:tcPr>
            <w:tcW w:w="721" w:type="dxa"/>
            <w:vMerge w:val="continue"/>
            <w:tcBorders>
              <w:left w:val="single" w:color="auto" w:sz="4" w:space="0"/>
              <w:bottom w:val="single" w:color="auto" w:sz="4" w:space="0"/>
              <w:right w:val="single" w:color="auto" w:sz="4" w:space="0"/>
            </w:tcBorders>
            <w:vAlign w:val="center"/>
          </w:tcPr>
          <w:p>
            <w:pPr>
              <w:widowControl/>
              <w:spacing w:line="360" w:lineRule="exact"/>
              <w:jc w:val="center"/>
              <w:rPr>
                <w:szCs w:val="21"/>
              </w:rPr>
            </w:pPr>
          </w:p>
        </w:tc>
        <w:tc>
          <w:tcPr>
            <w:tcW w:w="567" w:type="dxa"/>
            <w:vMerge w:val="continue"/>
            <w:tcBorders>
              <w:left w:val="single" w:color="auto" w:sz="4" w:space="0"/>
              <w:bottom w:val="single" w:color="auto" w:sz="4" w:space="0"/>
              <w:right w:val="single" w:color="auto" w:sz="4" w:space="0"/>
            </w:tcBorders>
            <w:vAlign w:val="center"/>
          </w:tcPr>
          <w:p>
            <w:pPr>
              <w:pStyle w:val="71"/>
              <w:spacing w:line="360" w:lineRule="exact"/>
              <w:rPr>
                <w:rFonts w:hAnsi="宋体"/>
                <w:color w:val="000000"/>
                <w:sz w:val="21"/>
                <w:szCs w:val="21"/>
              </w:rPr>
            </w:pPr>
          </w:p>
        </w:tc>
        <w:tc>
          <w:tcPr>
            <w:tcW w:w="1685" w:type="dxa"/>
            <w:tcBorders>
              <w:top w:val="single" w:color="auto" w:sz="4" w:space="0"/>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网页编辑</w:t>
            </w:r>
          </w:p>
        </w:tc>
        <w:tc>
          <w:tcPr>
            <w:tcW w:w="581" w:type="dxa"/>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r>
              <w:rPr>
                <w:rFonts w:hint="eastAsia" w:ascii="仿宋"/>
                <w:kern w:val="2"/>
                <w:sz w:val="21"/>
                <w:szCs w:val="21"/>
              </w:rPr>
              <w:t>2</w:t>
            </w:r>
          </w:p>
        </w:tc>
        <w:tc>
          <w:tcPr>
            <w:tcW w:w="930"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570"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51"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735" w:type="dxa"/>
            <w:vMerge w:val="continue"/>
            <w:tcBorders>
              <w:left w:val="single" w:color="auto" w:sz="4" w:space="0"/>
              <w:bottom w:val="single" w:color="auto" w:sz="4" w:space="0"/>
              <w:right w:val="single" w:color="auto" w:sz="4" w:space="0"/>
            </w:tcBorders>
            <w:vAlign w:val="center"/>
          </w:tcPr>
          <w:p>
            <w:pPr>
              <w:pStyle w:val="71"/>
              <w:spacing w:line="360" w:lineRule="exact"/>
              <w:rPr>
                <w:rFonts w:ascii="仿宋"/>
                <w:kern w:val="2"/>
                <w:sz w:val="21"/>
                <w:szCs w:val="21"/>
              </w:rPr>
            </w:pPr>
          </w:p>
        </w:tc>
        <w:tc>
          <w:tcPr>
            <w:tcW w:w="1002"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vMerge w:val="continue"/>
            <w:tcBorders>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十</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20</w:t>
            </w:r>
          </w:p>
        </w:tc>
        <w:tc>
          <w:tcPr>
            <w:tcW w:w="721"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r>
              <w:rPr>
                <w:rFonts w:hint="eastAsia" w:ascii="仿宋"/>
                <w:sz w:val="21"/>
                <w:szCs w:val="21"/>
              </w:rPr>
              <w:t>0</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0</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p>
        </w:tc>
        <w:tc>
          <w:tcPr>
            <w:tcW w:w="930"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p>
        </w:tc>
        <w:tc>
          <w:tcPr>
            <w:tcW w:w="751"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顶岗</w:t>
            </w:r>
          </w:p>
          <w:p>
            <w:pPr>
              <w:pStyle w:val="71"/>
              <w:widowControl/>
              <w:autoSpaceDE/>
              <w:snapToGrid w:val="0"/>
              <w:spacing w:line="360" w:lineRule="exact"/>
              <w:rPr>
                <w:rFonts w:ascii="仿宋"/>
                <w:sz w:val="21"/>
                <w:szCs w:val="21"/>
              </w:rPr>
            </w:pPr>
            <w:r>
              <w:rPr>
                <w:rFonts w:hint="eastAsia" w:ascii="仿宋"/>
                <w:sz w:val="21"/>
                <w:szCs w:val="21"/>
              </w:rPr>
              <w:t>实习</w:t>
            </w:r>
          </w:p>
        </w:tc>
        <w:tc>
          <w:tcPr>
            <w:tcW w:w="735"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14</w:t>
            </w: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rPr>
                <w:rFonts w:ascii="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85"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left="110" w:leftChars="50"/>
              <w:jc w:val="both"/>
              <w:rPr>
                <w:rFonts w:ascii="仿宋"/>
                <w:sz w:val="21"/>
                <w:szCs w:val="21"/>
              </w:rPr>
            </w:pPr>
            <w:r>
              <w:rPr>
                <w:rFonts w:hint="eastAsia" w:ascii="仿宋"/>
                <w:sz w:val="21"/>
                <w:szCs w:val="21"/>
              </w:rPr>
              <w:t>合计</w:t>
            </w:r>
          </w:p>
        </w:tc>
        <w:tc>
          <w:tcPr>
            <w:tcW w:w="643"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left="-172" w:leftChars="-78" w:firstLine="105" w:firstLineChars="50"/>
              <w:jc w:val="both"/>
              <w:rPr>
                <w:rFonts w:ascii="仿宋"/>
                <w:sz w:val="21"/>
                <w:szCs w:val="21"/>
              </w:rPr>
            </w:pPr>
            <w:r>
              <w:rPr>
                <w:rFonts w:hint="eastAsia" w:ascii="仿宋"/>
                <w:sz w:val="21"/>
                <w:szCs w:val="21"/>
              </w:rPr>
              <w:t xml:space="preserve"> 200</w:t>
            </w:r>
          </w:p>
        </w:tc>
        <w:tc>
          <w:tcPr>
            <w:tcW w:w="721"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firstLine="105" w:firstLineChars="50"/>
              <w:jc w:val="both"/>
              <w:rPr>
                <w:rFonts w:ascii="仿宋"/>
                <w:sz w:val="21"/>
                <w:szCs w:val="21"/>
              </w:rPr>
            </w:pPr>
            <w:r>
              <w:rPr>
                <w:rFonts w:hint="eastAsia" w:ascii="仿宋"/>
                <w:sz w:val="21"/>
                <w:szCs w:val="21"/>
              </w:rPr>
              <w:t>144</w:t>
            </w:r>
          </w:p>
        </w:tc>
        <w:tc>
          <w:tcPr>
            <w:tcW w:w="567"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rPr>
                <w:rFonts w:ascii="仿宋"/>
                <w:sz w:val="21"/>
                <w:szCs w:val="21"/>
              </w:rPr>
            </w:pPr>
            <w:r>
              <w:rPr>
                <w:rFonts w:hint="eastAsia" w:ascii="仿宋"/>
                <w:sz w:val="21"/>
                <w:szCs w:val="21"/>
              </w:rPr>
              <w:t>9</w:t>
            </w:r>
          </w:p>
        </w:tc>
        <w:tc>
          <w:tcPr>
            <w:tcW w:w="1685"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firstLine="105" w:firstLineChars="50"/>
              <w:rPr>
                <w:rFonts w:ascii="仿宋"/>
                <w:sz w:val="21"/>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firstLine="105" w:firstLineChars="50"/>
              <w:rPr>
                <w:rFonts w:ascii="仿宋"/>
                <w:sz w:val="21"/>
                <w:szCs w:val="21"/>
              </w:rPr>
            </w:pPr>
            <w:r>
              <w:rPr>
                <w:rFonts w:hint="eastAsia" w:ascii="仿宋"/>
                <w:sz w:val="21"/>
                <w:szCs w:val="21"/>
              </w:rPr>
              <w:t>18</w:t>
            </w:r>
          </w:p>
        </w:tc>
        <w:tc>
          <w:tcPr>
            <w:tcW w:w="930"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firstLine="105" w:firstLineChars="50"/>
              <w:jc w:val="both"/>
              <w:rPr>
                <w:rFonts w:ascii="仿宋"/>
                <w:sz w:val="21"/>
                <w:szCs w:val="21"/>
              </w:rPr>
            </w:pP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firstLine="105" w:firstLineChars="50"/>
              <w:jc w:val="both"/>
              <w:rPr>
                <w:rFonts w:ascii="仿宋"/>
                <w:sz w:val="21"/>
                <w:szCs w:val="21"/>
              </w:rPr>
            </w:pPr>
            <w:r>
              <w:rPr>
                <w:rFonts w:hint="eastAsia" w:ascii="仿宋"/>
                <w:sz w:val="21"/>
                <w:szCs w:val="21"/>
              </w:rPr>
              <w:t>4</w:t>
            </w:r>
          </w:p>
        </w:tc>
        <w:tc>
          <w:tcPr>
            <w:tcW w:w="751"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firstLine="105" w:firstLineChars="50"/>
              <w:jc w:val="both"/>
              <w:rPr>
                <w:rFonts w:ascii="仿宋"/>
                <w:sz w:val="21"/>
                <w:szCs w:val="21"/>
              </w:rPr>
            </w:pPr>
          </w:p>
        </w:tc>
        <w:tc>
          <w:tcPr>
            <w:tcW w:w="735" w:type="dxa"/>
            <w:tcBorders>
              <w:top w:val="single" w:color="auto" w:sz="4" w:space="0"/>
              <w:left w:val="single" w:color="auto" w:sz="4" w:space="0"/>
              <w:bottom w:val="single" w:color="auto" w:sz="4" w:space="0"/>
              <w:right w:val="single" w:color="auto" w:sz="4" w:space="0"/>
            </w:tcBorders>
            <w:vAlign w:val="center"/>
          </w:tcPr>
          <w:p>
            <w:pPr>
              <w:pStyle w:val="71"/>
              <w:widowControl/>
              <w:autoSpaceDE/>
              <w:snapToGrid w:val="0"/>
              <w:spacing w:line="360" w:lineRule="exact"/>
              <w:ind w:firstLine="105" w:firstLineChars="50"/>
              <w:jc w:val="both"/>
              <w:rPr>
                <w:rFonts w:ascii="仿宋"/>
                <w:sz w:val="21"/>
                <w:szCs w:val="21"/>
              </w:rPr>
            </w:pPr>
            <w:r>
              <w:rPr>
                <w:rFonts w:hint="eastAsia" w:ascii="仿宋"/>
                <w:sz w:val="21"/>
                <w:szCs w:val="21"/>
              </w:rPr>
              <w:t>14</w:t>
            </w:r>
          </w:p>
        </w:tc>
        <w:tc>
          <w:tcPr>
            <w:tcW w:w="1002"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firstLine="105" w:firstLineChars="50"/>
              <w:rPr>
                <w:rFonts w:ascii="仿宋"/>
                <w:sz w:val="21"/>
                <w:szCs w:val="21"/>
              </w:rPr>
            </w:pPr>
            <w:r>
              <w:rPr>
                <w:rFonts w:hint="eastAsia" w:ascii="仿宋"/>
                <w:sz w:val="21"/>
                <w:szCs w:val="21"/>
              </w:rPr>
              <w:t>2</w:t>
            </w:r>
          </w:p>
        </w:tc>
        <w:tc>
          <w:tcPr>
            <w:tcW w:w="570" w:type="dxa"/>
            <w:tcBorders>
              <w:top w:val="single" w:color="auto" w:sz="4" w:space="0"/>
              <w:left w:val="single" w:color="auto" w:sz="4" w:space="0"/>
              <w:bottom w:val="single" w:color="auto" w:sz="4" w:space="0"/>
              <w:right w:val="single" w:color="auto" w:sz="4" w:space="0"/>
            </w:tcBorders>
            <w:vAlign w:val="center"/>
          </w:tcPr>
          <w:p>
            <w:pPr>
              <w:pStyle w:val="71"/>
              <w:widowControl/>
              <w:autoSpaceDE/>
              <w:spacing w:line="360" w:lineRule="exact"/>
              <w:ind w:firstLine="105" w:firstLineChars="50"/>
              <w:jc w:val="both"/>
              <w:rPr>
                <w:rFonts w:ascii="仿宋"/>
                <w:sz w:val="21"/>
                <w:szCs w:val="21"/>
              </w:rPr>
            </w:pPr>
            <w:r>
              <w:rPr>
                <w:rFonts w:hint="eastAsia" w:ascii="仿宋"/>
                <w:sz w:val="21"/>
                <w:szCs w:val="21"/>
              </w:rPr>
              <w:t>11</w:t>
            </w:r>
          </w:p>
        </w:tc>
      </w:tr>
    </w:tbl>
    <w:p>
      <w:pPr>
        <w:widowControl/>
        <w:spacing w:line="360" w:lineRule="exact"/>
        <w:ind w:firstLine="331" w:firstLineChars="150"/>
        <w:rPr>
          <w:rFonts w:cs="Times New Roman"/>
          <w:color w:val="000000"/>
          <w:kern w:val="2"/>
          <w:sz w:val="21"/>
          <w:szCs w:val="21"/>
        </w:rPr>
      </w:pPr>
      <w:r>
        <w:rPr>
          <w:rFonts w:hint="eastAsia"/>
          <w:b/>
          <w:bCs/>
        </w:rPr>
        <w:t>（二）教学进程安排表（见附录）</w:t>
      </w:r>
    </w:p>
    <w:p>
      <w:pPr>
        <w:widowControl/>
        <w:spacing w:line="360" w:lineRule="exact"/>
        <w:ind w:firstLine="331" w:firstLineChars="150"/>
        <w:rPr>
          <w:b/>
        </w:rPr>
      </w:pPr>
      <w:r>
        <w:rPr>
          <w:rFonts w:hint="eastAsia"/>
          <w:b/>
        </w:rPr>
        <w:t>八、实施保障</w:t>
      </w:r>
    </w:p>
    <w:p>
      <w:pPr>
        <w:autoSpaceDE/>
        <w:autoSpaceDN/>
        <w:adjustRightInd w:val="0"/>
        <w:spacing w:line="360" w:lineRule="exact"/>
        <w:ind w:firstLine="422" w:firstLineChars="200"/>
        <w:jc w:val="both"/>
        <w:rPr>
          <w:rFonts w:cs="Times New Roman"/>
          <w:b/>
          <w:color w:val="000000"/>
          <w:kern w:val="2"/>
          <w:sz w:val="21"/>
          <w:szCs w:val="21"/>
        </w:rPr>
      </w:pPr>
      <w:r>
        <w:rPr>
          <w:rFonts w:cs="Times New Roman"/>
          <w:b/>
          <w:color w:val="000000"/>
          <w:kern w:val="2"/>
          <w:sz w:val="21"/>
          <w:szCs w:val="21"/>
        </w:rPr>
        <w:t>（</w:t>
      </w:r>
      <w:r>
        <w:rPr>
          <w:rFonts w:hint="eastAsia" w:cs="Times New Roman"/>
          <w:b/>
          <w:color w:val="000000"/>
          <w:kern w:val="2"/>
          <w:sz w:val="21"/>
          <w:szCs w:val="21"/>
        </w:rPr>
        <w:t>一</w:t>
      </w:r>
      <w:r>
        <w:rPr>
          <w:rFonts w:cs="Times New Roman"/>
          <w:b/>
          <w:color w:val="000000"/>
          <w:kern w:val="2"/>
          <w:sz w:val="21"/>
          <w:szCs w:val="21"/>
        </w:rPr>
        <w:t>）师资队伍</w:t>
      </w:r>
      <w:r>
        <w:rPr>
          <w:rFonts w:hint="eastAsia" w:cs="Times New Roman"/>
          <w:b/>
          <w:color w:val="000000"/>
          <w:kern w:val="2"/>
          <w:sz w:val="21"/>
          <w:szCs w:val="21"/>
        </w:rPr>
        <w:t>。</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1.队伍结构</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学生数与本专业专任教师数比例为34:1，双师素质教师占专业教师比例54%,专任教师队伍形成合理的梯队结构，兼职教师占专任教师比例为20%。</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2.专任教师</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专任教师均具有高校教师资格；有理想信念、有道德情操、有扎实学识、有仁爱之心；具有扎实的本专业相关理论功底和实践能力；具有教学创新能力、教材开发能力、教育教学能力和教学设计能力，能够开展课程开发和教研活动，理解和把握高职生心理能力，每5年累计6个月的企业实践经历。</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3.专业负责人</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 xml:space="preserve">专业带头人具有高校讲师职称，硕士研究生学历。能够较好地把握播音与主持行业发展动态，具有专业市场调研能力、专业技术创新能力、行业发展跟踪和观察能力和服务行业企业能力，具有教学创新能力、教材开发能力、教育教学能力和教学设计能力，能够开展课程开发和教研活动，理解和把握高职生心理能力，在本区域或本领域具有一定的专业影响力。 </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4.兼职教师</w:t>
      </w:r>
    </w:p>
    <w:p>
      <w:pPr>
        <w:spacing w:line="400" w:lineRule="exact"/>
        <w:ind w:firstLine="420" w:firstLineChars="200"/>
        <w:rPr>
          <w:rFonts w:cs="Times New Roman"/>
          <w:color w:val="000000"/>
          <w:kern w:val="2"/>
          <w:sz w:val="21"/>
          <w:szCs w:val="21"/>
        </w:rPr>
      </w:pPr>
      <w:r>
        <w:rPr>
          <w:rFonts w:hint="eastAsia" w:cs="Times New Roman"/>
          <w:color w:val="000000"/>
          <w:kern w:val="2"/>
          <w:sz w:val="21"/>
          <w:szCs w:val="21"/>
        </w:rPr>
        <w:t>兼职教师主要从广播电视集团、传媒公司聘任，具备良好的思想政治素质、职业道德和工匠精神，具有扎实的专业知识和丰富的实际工作经验，具有教学创新能力、教材开发能力、教育教学能力和教学设计能力，具有中级及以上相关专业职称，能承担专业课程教学、实习实训指导和学生职业发展规划指导等教学任务。</w:t>
      </w:r>
    </w:p>
    <w:p>
      <w:pPr>
        <w:widowControl/>
        <w:spacing w:line="360" w:lineRule="exact"/>
        <w:ind w:firstLine="316" w:firstLineChars="150"/>
        <w:rPr>
          <w:rFonts w:cs="Times New Roman"/>
          <w:b/>
          <w:bCs/>
          <w:color w:val="000000"/>
          <w:kern w:val="2"/>
          <w:sz w:val="21"/>
          <w:szCs w:val="21"/>
        </w:rPr>
      </w:pPr>
      <w:r>
        <w:rPr>
          <w:rFonts w:hint="eastAsia" w:cs="Times New Roman"/>
          <w:b/>
          <w:bCs/>
          <w:color w:val="000000"/>
          <w:kern w:val="2"/>
          <w:sz w:val="21"/>
          <w:szCs w:val="21"/>
        </w:rPr>
        <w:t>(二）教学设施</w:t>
      </w:r>
    </w:p>
    <w:p>
      <w:pPr>
        <w:widowControl/>
        <w:spacing w:line="360" w:lineRule="exact"/>
        <w:ind w:firstLine="315" w:firstLineChars="150"/>
        <w:rPr>
          <w:rFonts w:cs="Times New Roman"/>
          <w:color w:val="000000"/>
          <w:kern w:val="2"/>
          <w:sz w:val="21"/>
          <w:szCs w:val="21"/>
        </w:rPr>
      </w:pPr>
      <w:r>
        <w:rPr>
          <w:rFonts w:hint="eastAsia" w:cs="Times New Roman"/>
          <w:color w:val="000000"/>
          <w:kern w:val="2"/>
          <w:sz w:val="21"/>
          <w:szCs w:val="21"/>
        </w:rPr>
        <w:t>教学设施主要包括能够满足正常的课程教学、实习实训所必需的专业教室、实训室和实训基地。</w:t>
      </w:r>
    </w:p>
    <w:p>
      <w:pPr>
        <w:widowControl/>
        <w:spacing w:line="360" w:lineRule="exact"/>
        <w:ind w:firstLine="440" w:firstLineChars="200"/>
      </w:pPr>
      <w:r>
        <w:rPr>
          <w:rFonts w:hint="eastAsia"/>
        </w:rPr>
        <w:t>1.专业教室</w:t>
      </w:r>
    </w:p>
    <w:p>
      <w:pPr>
        <w:widowControl/>
        <w:spacing w:line="360" w:lineRule="exact"/>
        <w:ind w:firstLine="440" w:firstLineChars="200"/>
      </w:pPr>
      <w:r>
        <w:rPr>
          <w:rFonts w:hint="eastAsia"/>
        </w:rPr>
        <w:t>专业小课教室配备多媒体教学设备、音响设备、补光灯、主播台、绿幕、白班，全校WiFi环境，并具有网络安全防护措施。有安装应急照明装置并保持良好状态，符合紧急疏散要求，标志明显，保持逃生通道畅通无阻。</w:t>
      </w:r>
    </w:p>
    <w:p>
      <w:pPr>
        <w:widowControl/>
        <w:spacing w:line="360" w:lineRule="exact"/>
        <w:ind w:firstLine="550" w:firstLineChars="250"/>
        <w:rPr>
          <w:b/>
        </w:rPr>
      </w:pPr>
      <w:r>
        <w:rPr>
          <w:rFonts w:hint="eastAsia"/>
        </w:rPr>
        <w:t>2.校内实训室</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204"/>
        <w:gridCol w:w="3330"/>
        <w:gridCol w:w="2875"/>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vAlign w:val="center"/>
          </w:tcPr>
          <w:p>
            <w:pPr>
              <w:widowControl/>
              <w:spacing w:line="360" w:lineRule="exact"/>
              <w:jc w:val="center"/>
              <w:rPr>
                <w:b/>
                <w:bCs/>
              </w:rPr>
            </w:pPr>
            <w:r>
              <w:rPr>
                <w:rFonts w:hint="eastAsia"/>
                <w:b/>
                <w:bCs/>
              </w:rPr>
              <w:t>序号</w:t>
            </w:r>
          </w:p>
        </w:tc>
        <w:tc>
          <w:tcPr>
            <w:tcW w:w="1204" w:type="dxa"/>
            <w:vAlign w:val="center"/>
          </w:tcPr>
          <w:p>
            <w:pPr>
              <w:widowControl/>
              <w:spacing w:line="360" w:lineRule="exact"/>
              <w:jc w:val="center"/>
              <w:rPr>
                <w:b/>
                <w:bCs/>
              </w:rPr>
            </w:pPr>
            <w:r>
              <w:rPr>
                <w:rFonts w:hint="eastAsia"/>
                <w:b/>
                <w:bCs/>
              </w:rPr>
              <w:t>实训室名称</w:t>
            </w:r>
          </w:p>
        </w:tc>
        <w:tc>
          <w:tcPr>
            <w:tcW w:w="3330" w:type="dxa"/>
            <w:vAlign w:val="center"/>
          </w:tcPr>
          <w:p>
            <w:pPr>
              <w:widowControl/>
              <w:spacing w:line="360" w:lineRule="exact"/>
              <w:jc w:val="center"/>
              <w:rPr>
                <w:b/>
                <w:bCs/>
              </w:rPr>
            </w:pPr>
            <w:r>
              <w:rPr>
                <w:rFonts w:hint="eastAsia"/>
                <w:b/>
                <w:bCs/>
              </w:rPr>
              <w:t>主要功能</w:t>
            </w:r>
          </w:p>
        </w:tc>
        <w:tc>
          <w:tcPr>
            <w:tcW w:w="3547" w:type="dxa"/>
            <w:gridSpan w:val="2"/>
            <w:vAlign w:val="center"/>
          </w:tcPr>
          <w:p>
            <w:pPr>
              <w:widowControl/>
              <w:spacing w:line="360" w:lineRule="exact"/>
              <w:jc w:val="center"/>
              <w:rPr>
                <w:b/>
                <w:bCs/>
              </w:rPr>
            </w:pPr>
            <w:r>
              <w:rPr>
                <w:rFonts w:hint="eastAsia"/>
                <w:b/>
                <w:bCs/>
              </w:rPr>
              <w:t>主要设施设备配置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204" w:type="dxa"/>
            <w:vMerge w:val="restart"/>
            <w:vAlign w:val="center"/>
          </w:tcPr>
          <w:p>
            <w:pPr>
              <w:widowControl/>
              <w:spacing w:line="360" w:lineRule="exact"/>
              <w:jc w:val="center"/>
            </w:pPr>
            <w:r>
              <w:rPr>
                <w:rFonts w:hint="eastAsia"/>
              </w:rPr>
              <w:t>1</w:t>
            </w:r>
          </w:p>
        </w:tc>
        <w:tc>
          <w:tcPr>
            <w:tcW w:w="1204" w:type="dxa"/>
            <w:vMerge w:val="restart"/>
            <w:vAlign w:val="center"/>
          </w:tcPr>
          <w:p>
            <w:pPr>
              <w:widowControl/>
              <w:spacing w:line="360" w:lineRule="exact"/>
              <w:jc w:val="center"/>
            </w:pPr>
            <w:r>
              <w:rPr>
                <w:rFonts w:hint="eastAsia"/>
              </w:rPr>
              <w:t>录音间</w:t>
            </w:r>
          </w:p>
        </w:tc>
        <w:tc>
          <w:tcPr>
            <w:tcW w:w="3330" w:type="dxa"/>
            <w:vMerge w:val="restart"/>
            <w:vAlign w:val="center"/>
          </w:tcPr>
          <w:p>
            <w:pPr>
              <w:widowControl/>
              <w:spacing w:line="360" w:lineRule="exact"/>
              <w:jc w:val="center"/>
            </w:pPr>
            <w:r>
              <w:rPr>
                <w:rFonts w:hint="eastAsia"/>
              </w:rPr>
              <w:t>特定录音环境专用录音场所，是录制歌曲、音乐等的录音场所，</w:t>
            </w:r>
            <w:r>
              <w:t>是采集并收集声音,而后对声音进行处理,最后输出成品的</w:t>
            </w:r>
            <w:r>
              <w:rPr>
                <w:rFonts w:hint="eastAsia"/>
              </w:rPr>
              <w:t>专业场所。</w:t>
            </w:r>
          </w:p>
        </w:tc>
        <w:tc>
          <w:tcPr>
            <w:tcW w:w="2875" w:type="dxa"/>
            <w:vAlign w:val="center"/>
          </w:tcPr>
          <w:p>
            <w:pPr>
              <w:widowControl/>
              <w:spacing w:line="360" w:lineRule="exact"/>
              <w:jc w:val="center"/>
            </w:pPr>
            <w:r>
              <w:rPr>
                <w:rFonts w:hint="eastAsia"/>
              </w:rPr>
              <w:t>名称</w:t>
            </w:r>
          </w:p>
        </w:tc>
        <w:tc>
          <w:tcPr>
            <w:tcW w:w="672" w:type="dxa"/>
            <w:vAlign w:val="center"/>
          </w:tcPr>
          <w:p>
            <w:pPr>
              <w:widowControl/>
              <w:spacing w:line="360" w:lineRule="exact"/>
              <w:jc w:val="center"/>
            </w:pPr>
            <w:r>
              <w:rPr>
                <w:rFonts w:hint="eastAsia"/>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联想电脑</w:t>
            </w:r>
          </w:p>
        </w:tc>
        <w:tc>
          <w:tcPr>
            <w:tcW w:w="672" w:type="dxa"/>
            <w:vAlign w:val="center"/>
          </w:tcPr>
          <w:p>
            <w:pPr>
              <w:widowControl/>
              <w:spacing w:line="360" w:lineRule="exact"/>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音频接口专业Roland声卡</w:t>
            </w:r>
          </w:p>
        </w:tc>
        <w:tc>
          <w:tcPr>
            <w:tcW w:w="672" w:type="dxa"/>
            <w:vAlign w:val="center"/>
          </w:tcPr>
          <w:p>
            <w:pPr>
              <w:widowControl/>
              <w:spacing w:line="360" w:lineRule="exact"/>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雅马哈</w:t>
            </w:r>
            <w:r>
              <w:t>调音台</w:t>
            </w:r>
          </w:p>
        </w:tc>
        <w:tc>
          <w:tcPr>
            <w:tcW w:w="672" w:type="dxa"/>
            <w:vAlign w:val="center"/>
          </w:tcPr>
          <w:p>
            <w:pPr>
              <w:widowControl/>
              <w:spacing w:line="360" w:lineRule="exact"/>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t>音乐工作站</w:t>
            </w:r>
          </w:p>
        </w:tc>
        <w:tc>
          <w:tcPr>
            <w:tcW w:w="672" w:type="dxa"/>
            <w:vAlign w:val="center"/>
          </w:tcPr>
          <w:p>
            <w:pPr>
              <w:widowControl/>
              <w:spacing w:line="360" w:lineRule="exact"/>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AKG</w:t>
            </w:r>
            <w:r>
              <w:t>麦克风</w:t>
            </w:r>
            <w:r>
              <w:rPr>
                <w:rFonts w:hint="eastAsia"/>
              </w:rPr>
              <w:t>、耳麦</w:t>
            </w:r>
          </w:p>
        </w:tc>
        <w:tc>
          <w:tcPr>
            <w:tcW w:w="672" w:type="dxa"/>
            <w:vAlign w:val="center"/>
          </w:tcPr>
          <w:p>
            <w:pPr>
              <w:widowControl/>
              <w:spacing w:line="360" w:lineRule="exact"/>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1204" w:type="dxa"/>
            <w:vMerge w:val="restart"/>
            <w:vAlign w:val="center"/>
          </w:tcPr>
          <w:p>
            <w:pPr>
              <w:widowControl/>
              <w:spacing w:line="360" w:lineRule="exact"/>
              <w:jc w:val="center"/>
            </w:pPr>
            <w:r>
              <w:rPr>
                <w:rFonts w:hint="eastAsia"/>
              </w:rPr>
              <w:t>2</w:t>
            </w:r>
          </w:p>
        </w:tc>
        <w:tc>
          <w:tcPr>
            <w:tcW w:w="1204" w:type="dxa"/>
            <w:vMerge w:val="restart"/>
            <w:vAlign w:val="center"/>
          </w:tcPr>
          <w:p>
            <w:pPr>
              <w:widowControl/>
              <w:spacing w:line="360" w:lineRule="exact"/>
              <w:jc w:val="center"/>
            </w:pPr>
            <w:r>
              <w:rPr>
                <w:rFonts w:hint="eastAsia"/>
              </w:rPr>
              <w:t>演播厅</w:t>
            </w:r>
          </w:p>
        </w:tc>
        <w:tc>
          <w:tcPr>
            <w:tcW w:w="3330" w:type="dxa"/>
            <w:vMerge w:val="restart"/>
            <w:vAlign w:val="center"/>
          </w:tcPr>
          <w:p>
            <w:pPr>
              <w:widowControl/>
              <w:spacing w:line="360" w:lineRule="exact"/>
              <w:jc w:val="center"/>
            </w:pPr>
            <w:r>
              <w:rPr>
                <w:rFonts w:hint="eastAsia"/>
              </w:rPr>
              <w:t>开展各类专业展演、艺术实践及会议专用场所。</w:t>
            </w:r>
          </w:p>
        </w:tc>
        <w:tc>
          <w:tcPr>
            <w:tcW w:w="2875" w:type="dxa"/>
            <w:vAlign w:val="center"/>
          </w:tcPr>
          <w:p>
            <w:pPr>
              <w:widowControl/>
              <w:spacing w:line="360" w:lineRule="exact"/>
              <w:jc w:val="center"/>
            </w:pPr>
            <w:r>
              <w:rPr>
                <w:rFonts w:hint="eastAsia"/>
              </w:rPr>
              <w:t>名称</w:t>
            </w:r>
          </w:p>
        </w:tc>
        <w:tc>
          <w:tcPr>
            <w:tcW w:w="672" w:type="dxa"/>
            <w:vAlign w:val="center"/>
          </w:tcPr>
          <w:p>
            <w:pPr>
              <w:widowControl/>
              <w:spacing w:line="360" w:lineRule="exact"/>
              <w:jc w:val="center"/>
            </w:pPr>
            <w:r>
              <w:rPr>
                <w:rFonts w:hint="eastAsia"/>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t>灯控台</w:t>
            </w:r>
          </w:p>
        </w:tc>
        <w:tc>
          <w:tcPr>
            <w:tcW w:w="672" w:type="dxa"/>
            <w:vAlign w:val="center"/>
          </w:tcPr>
          <w:p>
            <w:pPr>
              <w:widowControl/>
              <w:spacing w:line="360" w:lineRule="exact"/>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jc w:val="center"/>
            </w:pPr>
            <w:r>
              <w:rPr>
                <w:rFonts w:hint="eastAsia"/>
              </w:rPr>
              <w:t>雅马哈专业调音台</w:t>
            </w:r>
          </w:p>
        </w:tc>
        <w:tc>
          <w:tcPr>
            <w:tcW w:w="672" w:type="dxa"/>
            <w:vAlign w:val="center"/>
          </w:tcPr>
          <w:p>
            <w:pPr>
              <w:widowControl/>
              <w:spacing w:line="360" w:lineRule="exact"/>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音响</w:t>
            </w:r>
          </w:p>
        </w:tc>
        <w:tc>
          <w:tcPr>
            <w:tcW w:w="672" w:type="dxa"/>
            <w:vAlign w:val="center"/>
          </w:tcPr>
          <w:p>
            <w:pPr>
              <w:widowControl/>
              <w:spacing w:line="360" w:lineRule="exact"/>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P45PRO摄像补光灯</w:t>
            </w:r>
          </w:p>
        </w:tc>
        <w:tc>
          <w:tcPr>
            <w:tcW w:w="672" w:type="dxa"/>
            <w:vAlign w:val="center"/>
          </w:tcPr>
          <w:p>
            <w:pPr>
              <w:widowControl/>
              <w:spacing w:line="360" w:lineRule="exact"/>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t>明道GTD-LYS011764CW</w:t>
            </w:r>
          </w:p>
          <w:p>
            <w:pPr>
              <w:widowControl/>
              <w:spacing w:line="360" w:lineRule="exact"/>
              <w:jc w:val="center"/>
            </w:pPr>
            <w:r>
              <w:t>LED平板柔光灯</w:t>
            </w:r>
          </w:p>
        </w:tc>
        <w:tc>
          <w:tcPr>
            <w:tcW w:w="672" w:type="dxa"/>
            <w:vAlign w:val="center"/>
          </w:tcPr>
          <w:p>
            <w:pPr>
              <w:widowControl/>
              <w:spacing w:line="360" w:lineRule="exact"/>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t>雅江 SS335XCET</w:t>
            </w:r>
            <w:r>
              <w:rPr>
                <w:rFonts w:hint="eastAsia"/>
              </w:rPr>
              <w:t xml:space="preserve"> </w:t>
            </w:r>
            <w:r>
              <w:t>LED对流光</w:t>
            </w:r>
          </w:p>
        </w:tc>
        <w:tc>
          <w:tcPr>
            <w:tcW w:w="672" w:type="dxa"/>
            <w:vAlign w:val="center"/>
          </w:tcPr>
          <w:p>
            <w:pPr>
              <w:widowControl/>
              <w:spacing w:line="360" w:lineRule="exact"/>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剧场椅</w:t>
            </w:r>
          </w:p>
        </w:tc>
        <w:tc>
          <w:tcPr>
            <w:tcW w:w="672" w:type="dxa"/>
            <w:vAlign w:val="center"/>
          </w:tcPr>
          <w:p>
            <w:pPr>
              <w:widowControl/>
              <w:spacing w:line="360" w:lineRule="exact"/>
              <w:jc w:val="center"/>
            </w:pPr>
            <w:r>
              <w:rPr>
                <w:rFonts w:hint="eastAsia"/>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1204" w:type="dxa"/>
            <w:vMerge w:val="restart"/>
            <w:vAlign w:val="center"/>
          </w:tcPr>
          <w:p>
            <w:pPr>
              <w:widowControl/>
              <w:spacing w:line="360" w:lineRule="exact"/>
              <w:jc w:val="center"/>
            </w:pPr>
            <w:r>
              <w:rPr>
                <w:rFonts w:hint="eastAsia"/>
              </w:rPr>
              <w:t>3</w:t>
            </w:r>
          </w:p>
        </w:tc>
        <w:tc>
          <w:tcPr>
            <w:tcW w:w="1204" w:type="dxa"/>
            <w:vMerge w:val="restart"/>
            <w:vAlign w:val="center"/>
          </w:tcPr>
          <w:p>
            <w:pPr>
              <w:widowControl/>
              <w:spacing w:line="360" w:lineRule="exact"/>
              <w:jc w:val="center"/>
            </w:pPr>
            <w:r>
              <w:rPr>
                <w:rFonts w:hint="eastAsia"/>
              </w:rPr>
              <w:t>录播间</w:t>
            </w:r>
          </w:p>
        </w:tc>
        <w:tc>
          <w:tcPr>
            <w:tcW w:w="3330" w:type="dxa"/>
            <w:vMerge w:val="restart"/>
            <w:vAlign w:val="center"/>
          </w:tcPr>
          <w:p>
            <w:pPr>
              <w:widowControl/>
              <w:spacing w:line="360" w:lineRule="exact"/>
              <w:jc w:val="center"/>
            </w:pPr>
            <w:r>
              <w:rPr>
                <w:rFonts w:hint="eastAsia"/>
              </w:rPr>
              <w:t>主要用于正常的课程教学、实践和自修。</w:t>
            </w:r>
          </w:p>
        </w:tc>
        <w:tc>
          <w:tcPr>
            <w:tcW w:w="2875" w:type="dxa"/>
            <w:vAlign w:val="center"/>
          </w:tcPr>
          <w:p>
            <w:pPr>
              <w:widowControl/>
              <w:spacing w:line="360" w:lineRule="exact"/>
              <w:jc w:val="center"/>
            </w:pPr>
            <w:r>
              <w:rPr>
                <w:rFonts w:hint="eastAsia"/>
              </w:rPr>
              <w:t>名称</w:t>
            </w:r>
          </w:p>
        </w:tc>
        <w:tc>
          <w:tcPr>
            <w:tcW w:w="672" w:type="dxa"/>
            <w:vAlign w:val="center"/>
          </w:tcPr>
          <w:p>
            <w:pPr>
              <w:widowControl/>
              <w:spacing w:line="360" w:lineRule="exact"/>
              <w:jc w:val="center"/>
            </w:pPr>
            <w:r>
              <w:rPr>
                <w:rFonts w:hint="eastAsia"/>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摄像机</w:t>
            </w:r>
          </w:p>
        </w:tc>
        <w:tc>
          <w:tcPr>
            <w:tcW w:w="672" w:type="dxa"/>
            <w:vAlign w:val="center"/>
          </w:tcPr>
          <w:p>
            <w:pPr>
              <w:widowControl/>
              <w:spacing w:line="360" w:lineRule="exact"/>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提词器</w:t>
            </w:r>
          </w:p>
        </w:tc>
        <w:tc>
          <w:tcPr>
            <w:tcW w:w="672" w:type="dxa"/>
            <w:vAlign w:val="center"/>
          </w:tcPr>
          <w:p>
            <w:pPr>
              <w:widowControl/>
              <w:spacing w:line="360" w:lineRule="exact"/>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主播台</w:t>
            </w:r>
          </w:p>
        </w:tc>
        <w:tc>
          <w:tcPr>
            <w:tcW w:w="672" w:type="dxa"/>
            <w:vAlign w:val="center"/>
          </w:tcPr>
          <w:p>
            <w:pPr>
              <w:widowControl/>
              <w:spacing w:line="360" w:lineRule="exact"/>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204" w:type="dxa"/>
            <w:vMerge w:val="continue"/>
            <w:vAlign w:val="center"/>
          </w:tcPr>
          <w:p>
            <w:pPr>
              <w:widowControl/>
              <w:spacing w:line="360" w:lineRule="exact"/>
              <w:jc w:val="center"/>
            </w:pPr>
          </w:p>
        </w:tc>
        <w:tc>
          <w:tcPr>
            <w:tcW w:w="1204" w:type="dxa"/>
            <w:vMerge w:val="continue"/>
            <w:vAlign w:val="center"/>
          </w:tcPr>
          <w:p>
            <w:pPr>
              <w:widowControl/>
              <w:spacing w:line="360" w:lineRule="exact"/>
              <w:jc w:val="center"/>
            </w:pPr>
          </w:p>
        </w:tc>
        <w:tc>
          <w:tcPr>
            <w:tcW w:w="3330" w:type="dxa"/>
            <w:vMerge w:val="continue"/>
            <w:vAlign w:val="center"/>
          </w:tcPr>
          <w:p>
            <w:pPr>
              <w:widowControl/>
              <w:spacing w:line="360" w:lineRule="exact"/>
              <w:jc w:val="center"/>
            </w:pPr>
          </w:p>
        </w:tc>
        <w:tc>
          <w:tcPr>
            <w:tcW w:w="2875" w:type="dxa"/>
            <w:vAlign w:val="center"/>
          </w:tcPr>
          <w:p>
            <w:pPr>
              <w:widowControl/>
              <w:spacing w:line="360" w:lineRule="exact"/>
              <w:jc w:val="center"/>
            </w:pPr>
            <w:r>
              <w:rPr>
                <w:rFonts w:hint="eastAsia"/>
              </w:rPr>
              <w:t>绿幕</w:t>
            </w:r>
          </w:p>
        </w:tc>
        <w:tc>
          <w:tcPr>
            <w:tcW w:w="672" w:type="dxa"/>
            <w:vAlign w:val="center"/>
          </w:tcPr>
          <w:p>
            <w:pPr>
              <w:widowControl/>
              <w:spacing w:line="360" w:lineRule="exact"/>
              <w:jc w:val="center"/>
            </w:pPr>
            <w:r>
              <w:rPr>
                <w:rFonts w:hint="eastAsia"/>
              </w:rPr>
              <w:t>8</w:t>
            </w:r>
          </w:p>
        </w:tc>
      </w:tr>
    </w:tbl>
    <w:p>
      <w:pPr>
        <w:widowControl/>
        <w:spacing w:line="360" w:lineRule="exact"/>
        <w:ind w:firstLine="440" w:firstLineChars="200"/>
      </w:pPr>
      <w:r>
        <w:rPr>
          <w:rFonts w:hint="eastAsia"/>
        </w:rPr>
        <w:t>3.校外实习基地</w:t>
      </w:r>
    </w:p>
    <w:p>
      <w:pPr>
        <w:widowControl/>
        <w:spacing w:line="360" w:lineRule="exact"/>
        <w:ind w:firstLine="440" w:firstLineChars="200"/>
      </w:pPr>
      <w:r>
        <w:rPr>
          <w:rFonts w:hint="eastAsia"/>
        </w:rPr>
        <w:t>具有稳定的校外实习基地。能够开展景区讲解、晚会活动主持与策划、电商主播、艺术辅导与社会培训等实训活动;实训设施齐备，实训岗位、实训指导教师确定，实训管理及实施规章制度齐全；能够配备相应数量的指导教师对学生实习进行指导和管理；有保证实习生日常工作、学习、生活的规章制度，有安全、保险保障。</w:t>
      </w:r>
    </w:p>
    <w:tbl>
      <w:tblPr>
        <w:tblStyle w:val="8"/>
        <w:tblW w:w="10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3135"/>
        <w:gridCol w:w="2676"/>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86" w:type="dxa"/>
            <w:vAlign w:val="center"/>
          </w:tcPr>
          <w:p>
            <w:pPr>
              <w:widowControl/>
              <w:spacing w:line="360" w:lineRule="exact"/>
              <w:jc w:val="center"/>
              <w:rPr>
                <w:b/>
                <w:bCs/>
              </w:rPr>
            </w:pPr>
            <w:r>
              <w:rPr>
                <w:rFonts w:hint="eastAsia"/>
                <w:b/>
                <w:bCs/>
              </w:rPr>
              <w:t>序号</w:t>
            </w:r>
          </w:p>
        </w:tc>
        <w:tc>
          <w:tcPr>
            <w:tcW w:w="3135" w:type="dxa"/>
            <w:vAlign w:val="center"/>
          </w:tcPr>
          <w:p>
            <w:pPr>
              <w:widowControl/>
              <w:spacing w:line="360" w:lineRule="exact"/>
              <w:jc w:val="center"/>
              <w:rPr>
                <w:b/>
                <w:bCs/>
              </w:rPr>
            </w:pPr>
            <w:r>
              <w:rPr>
                <w:rFonts w:hint="eastAsia"/>
                <w:b/>
                <w:bCs/>
              </w:rPr>
              <w:t>校外实习基地名称</w:t>
            </w:r>
          </w:p>
        </w:tc>
        <w:tc>
          <w:tcPr>
            <w:tcW w:w="2676" w:type="dxa"/>
            <w:vAlign w:val="center"/>
          </w:tcPr>
          <w:p>
            <w:pPr>
              <w:widowControl/>
              <w:spacing w:line="360" w:lineRule="exact"/>
              <w:jc w:val="center"/>
              <w:rPr>
                <w:b/>
                <w:bCs/>
              </w:rPr>
            </w:pPr>
            <w:r>
              <w:rPr>
                <w:rFonts w:hint="eastAsia"/>
                <w:b/>
                <w:bCs/>
              </w:rPr>
              <w:t>实习岗位</w:t>
            </w:r>
          </w:p>
        </w:tc>
        <w:tc>
          <w:tcPr>
            <w:tcW w:w="3703" w:type="dxa"/>
          </w:tcPr>
          <w:p>
            <w:pPr>
              <w:widowControl/>
              <w:spacing w:line="360" w:lineRule="exact"/>
              <w:jc w:val="center"/>
              <w:rPr>
                <w:b/>
                <w:bCs/>
              </w:rPr>
            </w:pPr>
            <w:r>
              <w:rPr>
                <w:rFonts w:hint="eastAsia"/>
                <w:b/>
                <w:bCs/>
              </w:rPr>
              <w:t>合作内容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86" w:type="dxa"/>
            <w:vAlign w:val="center"/>
          </w:tcPr>
          <w:p>
            <w:pPr>
              <w:widowControl/>
              <w:spacing w:line="360" w:lineRule="exact"/>
              <w:jc w:val="center"/>
            </w:pPr>
            <w:r>
              <w:rPr>
                <w:rFonts w:hint="eastAsia"/>
              </w:rPr>
              <w:t>1</w:t>
            </w:r>
          </w:p>
        </w:tc>
        <w:tc>
          <w:tcPr>
            <w:tcW w:w="3135" w:type="dxa"/>
            <w:vAlign w:val="center"/>
          </w:tcPr>
          <w:p>
            <w:pPr>
              <w:widowControl/>
              <w:spacing w:line="360" w:lineRule="exact"/>
              <w:jc w:val="center"/>
            </w:pPr>
            <w:r>
              <w:rPr>
                <w:rFonts w:hint="eastAsia"/>
              </w:rPr>
              <w:t>东方盐湖城</w:t>
            </w:r>
          </w:p>
        </w:tc>
        <w:tc>
          <w:tcPr>
            <w:tcW w:w="2676" w:type="dxa"/>
            <w:vAlign w:val="center"/>
          </w:tcPr>
          <w:p>
            <w:pPr>
              <w:widowControl/>
              <w:spacing w:line="360" w:lineRule="exact"/>
              <w:jc w:val="center"/>
            </w:pPr>
            <w:r>
              <w:rPr>
                <w:rFonts w:hint="eastAsia"/>
              </w:rPr>
              <w:t>景区讲解员</w:t>
            </w:r>
          </w:p>
        </w:tc>
        <w:tc>
          <w:tcPr>
            <w:tcW w:w="3703" w:type="dxa"/>
          </w:tcPr>
          <w:p>
            <w:pPr>
              <w:widowControl/>
              <w:spacing w:line="360" w:lineRule="exact"/>
              <w:jc w:val="center"/>
            </w:pPr>
            <w:r>
              <w:rPr>
                <w:rFonts w:hint="eastAsia"/>
              </w:rPr>
              <w:t>讲解员工作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86" w:type="dxa"/>
            <w:vAlign w:val="center"/>
          </w:tcPr>
          <w:p>
            <w:pPr>
              <w:widowControl/>
              <w:spacing w:line="360" w:lineRule="exact"/>
              <w:jc w:val="center"/>
            </w:pPr>
            <w:r>
              <w:rPr>
                <w:rFonts w:hint="eastAsia"/>
              </w:rPr>
              <w:t>2</w:t>
            </w:r>
          </w:p>
        </w:tc>
        <w:tc>
          <w:tcPr>
            <w:tcW w:w="3135" w:type="dxa"/>
            <w:vAlign w:val="center"/>
          </w:tcPr>
          <w:p>
            <w:pPr>
              <w:widowControl/>
              <w:spacing w:line="360" w:lineRule="exact"/>
              <w:jc w:val="center"/>
            </w:pPr>
            <w:r>
              <w:rPr>
                <w:rFonts w:hint="eastAsia"/>
              </w:rPr>
              <w:t>化龙巷</w:t>
            </w:r>
          </w:p>
        </w:tc>
        <w:tc>
          <w:tcPr>
            <w:tcW w:w="2676" w:type="dxa"/>
            <w:vAlign w:val="center"/>
          </w:tcPr>
          <w:p>
            <w:pPr>
              <w:widowControl/>
              <w:spacing w:line="360" w:lineRule="exact"/>
              <w:jc w:val="center"/>
            </w:pPr>
            <w:r>
              <w:rPr>
                <w:rFonts w:hint="eastAsia"/>
              </w:rPr>
              <w:t>网络论坛编辑、主持人</w:t>
            </w:r>
          </w:p>
        </w:tc>
        <w:tc>
          <w:tcPr>
            <w:tcW w:w="3703" w:type="dxa"/>
          </w:tcPr>
          <w:p>
            <w:pPr>
              <w:widowControl/>
              <w:spacing w:line="360" w:lineRule="exact"/>
              <w:jc w:val="center"/>
            </w:pPr>
            <w:r>
              <w:rPr>
                <w:rFonts w:hint="eastAsia"/>
              </w:rPr>
              <w:t>网站维护与线下活动主持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686" w:type="dxa"/>
            <w:vAlign w:val="center"/>
          </w:tcPr>
          <w:p>
            <w:pPr>
              <w:widowControl/>
              <w:spacing w:line="360" w:lineRule="exact"/>
              <w:jc w:val="center"/>
            </w:pPr>
            <w:r>
              <w:rPr>
                <w:rFonts w:hint="eastAsia"/>
              </w:rPr>
              <w:t>3</w:t>
            </w:r>
          </w:p>
        </w:tc>
        <w:tc>
          <w:tcPr>
            <w:tcW w:w="3135" w:type="dxa"/>
            <w:vAlign w:val="center"/>
          </w:tcPr>
          <w:p>
            <w:pPr>
              <w:widowControl/>
              <w:spacing w:line="360" w:lineRule="exact"/>
              <w:jc w:val="center"/>
            </w:pPr>
            <w:r>
              <w:rPr>
                <w:rFonts w:hint="eastAsia"/>
              </w:rPr>
              <w:t>中吴网</w:t>
            </w:r>
          </w:p>
        </w:tc>
        <w:tc>
          <w:tcPr>
            <w:tcW w:w="2676" w:type="dxa"/>
            <w:vAlign w:val="center"/>
          </w:tcPr>
          <w:p>
            <w:pPr>
              <w:widowControl/>
              <w:spacing w:line="360" w:lineRule="exact"/>
              <w:jc w:val="center"/>
            </w:pPr>
            <w:r>
              <w:rPr>
                <w:rFonts w:hint="eastAsia"/>
              </w:rPr>
              <w:t>新媒体文案、摄像</w:t>
            </w:r>
          </w:p>
        </w:tc>
        <w:tc>
          <w:tcPr>
            <w:tcW w:w="3703" w:type="dxa"/>
          </w:tcPr>
          <w:p>
            <w:pPr>
              <w:widowControl/>
              <w:spacing w:line="360" w:lineRule="exact"/>
              <w:jc w:val="center"/>
            </w:pPr>
            <w:r>
              <w:rPr>
                <w:rFonts w:hint="eastAsia"/>
              </w:rPr>
              <w:t>文案策划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86" w:type="dxa"/>
            <w:vAlign w:val="center"/>
          </w:tcPr>
          <w:p>
            <w:pPr>
              <w:widowControl/>
              <w:spacing w:line="360" w:lineRule="exact"/>
              <w:jc w:val="center"/>
            </w:pPr>
            <w:r>
              <w:rPr>
                <w:rFonts w:hint="eastAsia"/>
              </w:rPr>
              <w:t>4</w:t>
            </w:r>
          </w:p>
        </w:tc>
        <w:tc>
          <w:tcPr>
            <w:tcW w:w="3135" w:type="dxa"/>
            <w:vAlign w:val="center"/>
          </w:tcPr>
          <w:p>
            <w:pPr>
              <w:widowControl/>
              <w:spacing w:line="360" w:lineRule="exact"/>
              <w:jc w:val="center"/>
            </w:pPr>
            <w:r>
              <w:rPr>
                <w:rFonts w:hint="eastAsia"/>
              </w:rPr>
              <w:t>语艺主持艺术培训中心</w:t>
            </w:r>
          </w:p>
        </w:tc>
        <w:tc>
          <w:tcPr>
            <w:tcW w:w="2676" w:type="dxa"/>
            <w:vAlign w:val="center"/>
          </w:tcPr>
          <w:p>
            <w:pPr>
              <w:widowControl/>
              <w:spacing w:line="360" w:lineRule="exact"/>
              <w:jc w:val="center"/>
            </w:pPr>
            <w:r>
              <w:rPr>
                <w:rFonts w:hint="eastAsia"/>
              </w:rPr>
              <w:t>少儿主持教师</w:t>
            </w:r>
          </w:p>
        </w:tc>
        <w:tc>
          <w:tcPr>
            <w:tcW w:w="3703" w:type="dxa"/>
          </w:tcPr>
          <w:p>
            <w:pPr>
              <w:widowControl/>
              <w:spacing w:line="360" w:lineRule="exact"/>
              <w:jc w:val="center"/>
            </w:pPr>
            <w:r>
              <w:rPr>
                <w:rFonts w:hint="eastAsia"/>
              </w:rPr>
              <w:t>少儿口才培训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86" w:type="dxa"/>
            <w:vAlign w:val="center"/>
          </w:tcPr>
          <w:p>
            <w:pPr>
              <w:widowControl/>
              <w:spacing w:line="360" w:lineRule="exact"/>
              <w:jc w:val="center"/>
            </w:pPr>
            <w:r>
              <w:rPr>
                <w:rFonts w:hint="eastAsia"/>
              </w:rPr>
              <w:t>5</w:t>
            </w:r>
          </w:p>
        </w:tc>
        <w:tc>
          <w:tcPr>
            <w:tcW w:w="3135" w:type="dxa"/>
            <w:vAlign w:val="center"/>
          </w:tcPr>
          <w:p>
            <w:pPr>
              <w:widowControl/>
              <w:spacing w:line="360" w:lineRule="exact"/>
              <w:jc w:val="center"/>
            </w:pPr>
            <w:r>
              <w:rPr>
                <w:rFonts w:hint="eastAsia"/>
              </w:rPr>
              <w:t>江苏乾艺汇文化产业有限公司</w:t>
            </w:r>
          </w:p>
        </w:tc>
        <w:tc>
          <w:tcPr>
            <w:tcW w:w="2676" w:type="dxa"/>
            <w:vAlign w:val="center"/>
          </w:tcPr>
          <w:p>
            <w:pPr>
              <w:widowControl/>
              <w:spacing w:line="360" w:lineRule="exact"/>
              <w:jc w:val="center"/>
            </w:pPr>
            <w:r>
              <w:rPr>
                <w:rFonts w:hint="eastAsia"/>
              </w:rPr>
              <w:t>电商主播</w:t>
            </w:r>
          </w:p>
        </w:tc>
        <w:tc>
          <w:tcPr>
            <w:tcW w:w="3703" w:type="dxa"/>
          </w:tcPr>
          <w:p>
            <w:pPr>
              <w:widowControl/>
              <w:spacing w:line="360" w:lineRule="exact"/>
              <w:jc w:val="center"/>
            </w:pPr>
            <w:r>
              <w:rPr>
                <w:rFonts w:hint="eastAsia"/>
              </w:rPr>
              <w:t>电商直播学习、参与红色公益网红项目</w:t>
            </w:r>
          </w:p>
        </w:tc>
      </w:tr>
    </w:tbl>
    <w:p>
      <w:pPr>
        <w:widowControl/>
        <w:spacing w:line="360" w:lineRule="exact"/>
        <w:ind w:firstLine="440" w:firstLineChars="200"/>
      </w:pPr>
      <w:r>
        <w:rPr>
          <w:rFonts w:hint="eastAsia"/>
        </w:rPr>
        <w:t>4.支持信息化教学</w:t>
      </w:r>
    </w:p>
    <w:p>
      <w:pPr>
        <w:widowControl/>
        <w:spacing w:line="360" w:lineRule="exact"/>
        <w:ind w:firstLine="440" w:firstLineChars="200"/>
        <w:rPr>
          <w:rFonts w:cs="Times New Roman"/>
          <w:color w:val="000000"/>
          <w:kern w:val="2"/>
          <w:sz w:val="21"/>
          <w:szCs w:val="21"/>
        </w:rPr>
      </w:pPr>
      <w:r>
        <w:rPr>
          <w:rFonts w:hint="eastAsia"/>
        </w:rPr>
        <w:t>学校拥有数字化教学资源库中国大学MOOC和知网研学，开通了泛雅学习通平台，引导鼓励教师开发并利用信息化教学资源、教学平台，创新教学方法，提升教学效果。</w:t>
      </w:r>
      <w:r>
        <w:rPr>
          <w:rFonts w:cs="Times New Roman"/>
          <w:color w:val="000000"/>
          <w:kern w:val="2"/>
          <w:sz w:val="21"/>
          <w:szCs w:val="21"/>
        </w:rPr>
        <w:tab/>
      </w:r>
    </w:p>
    <w:p>
      <w:pPr>
        <w:numPr>
          <w:ilvl w:val="0"/>
          <w:numId w:val="2"/>
        </w:numPr>
        <w:autoSpaceDE/>
        <w:autoSpaceDN/>
        <w:adjustRightInd w:val="0"/>
        <w:spacing w:line="360" w:lineRule="exact"/>
        <w:ind w:firstLine="422" w:firstLineChars="200"/>
        <w:jc w:val="both"/>
        <w:rPr>
          <w:rFonts w:cs="Times New Roman"/>
          <w:b/>
          <w:color w:val="000000"/>
          <w:kern w:val="2"/>
          <w:sz w:val="21"/>
          <w:szCs w:val="21"/>
        </w:rPr>
      </w:pPr>
      <w:r>
        <w:rPr>
          <w:rFonts w:hint="eastAsia" w:cs="Times New Roman"/>
          <w:b/>
          <w:color w:val="000000"/>
          <w:kern w:val="2"/>
          <w:sz w:val="21"/>
          <w:szCs w:val="21"/>
        </w:rPr>
        <w:t>教学资源</w:t>
      </w:r>
    </w:p>
    <w:p>
      <w:pPr>
        <w:widowControl/>
        <w:spacing w:line="360" w:lineRule="exact"/>
        <w:ind w:firstLine="440" w:firstLineChars="200"/>
      </w:pPr>
      <w:r>
        <w:rPr>
          <w:rFonts w:hint="eastAsia"/>
        </w:rPr>
        <w:t>1.教材选用</w:t>
      </w:r>
    </w:p>
    <w:p>
      <w:pPr>
        <w:widowControl/>
        <w:spacing w:line="360" w:lineRule="exact"/>
        <w:ind w:firstLine="440" w:firstLineChars="200"/>
      </w:pPr>
      <w:r>
        <w:rPr>
          <w:rFonts w:hint="eastAsia"/>
        </w:rPr>
        <w:t>按照国家规定、江苏省联院要求选用优质教材，学校建立专业教师、行业专家和教研人员等参与的教材选用机构，完善教材选用制度，用规范程序择优选用教材。</w:t>
      </w:r>
    </w:p>
    <w:p>
      <w:pPr>
        <w:widowControl/>
        <w:spacing w:line="360" w:lineRule="exact"/>
        <w:ind w:firstLine="440" w:firstLineChars="200"/>
      </w:pPr>
      <w:r>
        <w:rPr>
          <w:rFonts w:hint="eastAsia"/>
        </w:rPr>
        <w:t>2.图书文献配备</w:t>
      </w:r>
    </w:p>
    <w:p>
      <w:pPr>
        <w:widowControl/>
        <w:spacing w:line="360" w:lineRule="exact"/>
        <w:ind w:firstLine="440" w:firstLineChars="200"/>
      </w:pPr>
      <w:r>
        <w:rPr>
          <w:rFonts w:hint="eastAsia"/>
        </w:rPr>
        <w:t>图书文献配备能满足人才培养、专业建设、教科研等工作的需要，方便师生查询、借阅。专业类图书文献主要包括:播音与主持相关传媒行业政策法规、行业标准、艺术规范、音乐资讯等;有5种以上播音与主持专业学术月刊。</w:t>
      </w:r>
    </w:p>
    <w:p>
      <w:pPr>
        <w:widowControl/>
        <w:spacing w:line="360" w:lineRule="exact"/>
        <w:ind w:firstLine="440" w:firstLineChars="200"/>
      </w:pPr>
      <w:r>
        <w:rPr>
          <w:rFonts w:hint="eastAsia"/>
        </w:rPr>
        <w:t>3.数字教学资源配备</w:t>
      </w:r>
    </w:p>
    <w:p>
      <w:pPr>
        <w:widowControl/>
        <w:spacing w:line="360" w:lineRule="exact"/>
        <w:ind w:firstLine="440" w:firstLineChars="200"/>
      </w:pPr>
      <w:r>
        <w:rPr>
          <w:rFonts w:hint="eastAsia"/>
        </w:rPr>
        <w:t>本专业将原创的微电影、短视频、优秀节目主持作品案例及微课、公开课教学资源上传到资源库，网络资源种类丰富、形式多样、使用便捷、动态更新，能满足教学要求。</w:t>
      </w:r>
    </w:p>
    <w:p>
      <w:pPr>
        <w:autoSpaceDE/>
        <w:autoSpaceDN/>
        <w:adjustRightInd w:val="0"/>
        <w:spacing w:line="360" w:lineRule="exact"/>
        <w:ind w:firstLine="422" w:firstLineChars="200"/>
        <w:jc w:val="both"/>
        <w:rPr>
          <w:rFonts w:cs="Times New Roman"/>
          <w:b/>
          <w:color w:val="000000"/>
          <w:kern w:val="2"/>
          <w:sz w:val="21"/>
          <w:szCs w:val="21"/>
        </w:rPr>
      </w:pPr>
      <w:r>
        <w:rPr>
          <w:rFonts w:hint="eastAsia" w:cs="Times New Roman"/>
          <w:b/>
          <w:color w:val="000000"/>
          <w:kern w:val="2"/>
          <w:sz w:val="21"/>
          <w:szCs w:val="21"/>
        </w:rPr>
        <w:t>（四）教学方法</w:t>
      </w:r>
    </w:p>
    <w:p>
      <w:pPr>
        <w:widowControl/>
        <w:spacing w:line="360" w:lineRule="exact"/>
        <w:ind w:firstLine="440" w:firstLineChars="200"/>
      </w:pPr>
      <w:r>
        <w:rPr>
          <w:rFonts w:hint="eastAsia"/>
        </w:rPr>
        <w:t>1.推进“课程思政”，贯彻三全育人。根据本专业人才培养特点和专业能力素质要求,结合我校“崇艺尚美”的校风、“三创三能”的教风，突出“立德树人，能力本位”的教育思想，将时代精神、劳动教育、美学教育和社会主义核心价值观融入其中，以提升学生职业素养和综合职业能力，促进学生正确的价值观念养成。分别在艺术概论、社交礼仪等公共课程和节目主持、诗词朗诵等专业核心课程中融合思想教育元素，创新了思政课程教学模式，充分发挥专业课程承载的思想政治教育功能，实现思想政治教育与技术技能培养的有机统一。</w:t>
      </w:r>
    </w:p>
    <w:p>
      <w:pPr>
        <w:widowControl/>
        <w:spacing w:line="360" w:lineRule="exact"/>
        <w:ind w:firstLine="440" w:firstLineChars="200"/>
      </w:pPr>
      <w:r>
        <w:rPr>
          <w:rFonts w:hint="eastAsia"/>
        </w:rPr>
        <w:t>2.“学生中心、教师主导”的有机融合。在教学方法设计上，创设真实的工作情境，实施探究性学习、互动性学习、协作性学习等多种学习策略。采用“线上线下”相结合的混合式学习将课中教学拓展至课外。</w:t>
      </w:r>
    </w:p>
    <w:p>
      <w:pPr>
        <w:widowControl/>
        <w:spacing w:line="360" w:lineRule="exact"/>
        <w:ind w:firstLine="440" w:firstLineChars="200"/>
      </w:pPr>
      <w:r>
        <w:rPr>
          <w:rFonts w:hint="eastAsia"/>
        </w:rPr>
        <w:t>3.深入贯彻“校企融合”。建立多维度校企融合平台，联合常州恐龙园、化龙巷、乾艺汇直播公司等，引入企业真实案例项目进课堂，以企业实例为导向，开展“理论教学—项目模拟—项目实例”的循环实训教学体系，充分调动学生的主观能动性、创造性和自主性。</w:t>
      </w:r>
    </w:p>
    <w:p>
      <w:pPr>
        <w:autoSpaceDE/>
        <w:autoSpaceDN/>
        <w:adjustRightInd w:val="0"/>
        <w:spacing w:line="360" w:lineRule="exact"/>
        <w:ind w:firstLine="422" w:firstLineChars="200"/>
        <w:jc w:val="both"/>
        <w:rPr>
          <w:rFonts w:cs="Times New Roman"/>
          <w:b/>
          <w:color w:val="000000"/>
          <w:kern w:val="2"/>
          <w:sz w:val="21"/>
          <w:szCs w:val="21"/>
        </w:rPr>
      </w:pPr>
      <w:r>
        <w:rPr>
          <w:rFonts w:hint="eastAsia" w:cs="Times New Roman"/>
          <w:b/>
          <w:color w:val="000000"/>
          <w:kern w:val="2"/>
          <w:sz w:val="21"/>
          <w:szCs w:val="21"/>
        </w:rPr>
        <w:t>（五）学习评价</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对学生的学业考核评价内容应兼顾认知、技能、情感等方面，评价应体现评价标准、评价主体、评价方式、评价过程的多元化。结合专业口试、笔试、顶岗操作、专业行业赛事、职业资格鉴定等评价、评定方式。要加强对教学过程的质量监控，改革教学评价的标准和方法。</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1.评价时段：过程评价和结果性评价都是必要的。应加强过程评价，对学生课堂学习的表现、态度给予及时表扬、鼓励并记录，并和结果评价按照合适比例作为总评价的依据。</w:t>
      </w:r>
    </w:p>
    <w:p>
      <w:pPr>
        <w:autoSpaceDE/>
        <w:autoSpaceDN/>
        <w:spacing w:line="360" w:lineRule="exact"/>
        <w:ind w:firstLine="420"/>
        <w:jc w:val="both"/>
        <w:rPr>
          <w:rFonts w:cs="Times New Roman"/>
          <w:color w:val="000000"/>
          <w:kern w:val="2"/>
          <w:sz w:val="21"/>
          <w:szCs w:val="21"/>
        </w:rPr>
      </w:pPr>
      <w:r>
        <w:rPr>
          <w:rFonts w:hint="eastAsia" w:cs="Times New Roman"/>
          <w:color w:val="000000"/>
          <w:kern w:val="2"/>
          <w:sz w:val="21"/>
          <w:szCs w:val="21"/>
        </w:rPr>
        <w:t>2.评价方法：除了纸笔测试之外，提倡提问口答、实地操作等评价方法，避免单一的评价方式，要根据所学课程灵活制定。</w:t>
      </w:r>
    </w:p>
    <w:p>
      <w:pPr>
        <w:autoSpaceDE/>
        <w:autoSpaceDN/>
        <w:spacing w:line="360" w:lineRule="exact"/>
        <w:ind w:firstLine="420"/>
        <w:jc w:val="both"/>
        <w:rPr>
          <w:rFonts w:cs="Times New Roman"/>
          <w:color w:val="000000"/>
          <w:kern w:val="2"/>
          <w:sz w:val="21"/>
          <w:szCs w:val="21"/>
        </w:rPr>
      </w:pPr>
      <w:r>
        <w:rPr>
          <w:rFonts w:hint="eastAsia" w:cs="Times New Roman"/>
          <w:color w:val="000000"/>
          <w:kern w:val="2"/>
          <w:sz w:val="21"/>
          <w:szCs w:val="21"/>
        </w:rPr>
        <w:t>3.评价主体：教师评价、学生自评和互评相结合，促进学生主动学习、自我反思。还可让家长、社会力量适当参与评价活动，争取更多关注和支持。</w:t>
      </w:r>
    </w:p>
    <w:p>
      <w:pPr>
        <w:autoSpaceDE/>
        <w:autoSpaceDN/>
        <w:spacing w:line="360" w:lineRule="exact"/>
        <w:ind w:firstLine="420"/>
        <w:jc w:val="both"/>
        <w:rPr>
          <w:rFonts w:cs="Times New Roman"/>
          <w:color w:val="000000"/>
          <w:kern w:val="2"/>
          <w:sz w:val="21"/>
          <w:szCs w:val="21"/>
        </w:rPr>
      </w:pPr>
      <w:r>
        <w:rPr>
          <w:rFonts w:hint="eastAsia" w:cs="Times New Roman"/>
          <w:color w:val="000000"/>
          <w:kern w:val="2"/>
          <w:sz w:val="21"/>
          <w:szCs w:val="21"/>
        </w:rPr>
        <w:t>4.不断探索和寻找以下三对评价关系的平衡点：（1）总结性评价和发展性评价；（2）阶段性评价和终极评价；（3）教师评价和第三方评价。全面评价教学质量。</w:t>
      </w:r>
    </w:p>
    <w:p>
      <w:pPr>
        <w:autoSpaceDE/>
        <w:autoSpaceDN/>
        <w:adjustRightInd w:val="0"/>
        <w:spacing w:line="360" w:lineRule="exact"/>
        <w:ind w:firstLine="422" w:firstLineChars="200"/>
        <w:jc w:val="both"/>
        <w:rPr>
          <w:rFonts w:cs="Times New Roman"/>
          <w:b/>
          <w:color w:val="000000"/>
          <w:kern w:val="2"/>
          <w:sz w:val="21"/>
          <w:szCs w:val="21"/>
        </w:rPr>
      </w:pPr>
      <w:r>
        <w:rPr>
          <w:rFonts w:hint="eastAsia" w:cs="Times New Roman"/>
          <w:b/>
          <w:color w:val="000000"/>
          <w:kern w:val="2"/>
          <w:sz w:val="21"/>
          <w:szCs w:val="21"/>
        </w:rPr>
        <w:t>（六）</w:t>
      </w:r>
      <w:r>
        <w:rPr>
          <w:rFonts w:cs="Times New Roman"/>
          <w:b/>
          <w:color w:val="000000"/>
          <w:kern w:val="2"/>
          <w:sz w:val="21"/>
          <w:szCs w:val="21"/>
        </w:rPr>
        <w:t>质量</w:t>
      </w:r>
      <w:r>
        <w:rPr>
          <w:rFonts w:hint="eastAsia" w:cs="Times New Roman"/>
          <w:b/>
          <w:color w:val="000000"/>
          <w:kern w:val="2"/>
          <w:sz w:val="21"/>
          <w:szCs w:val="21"/>
        </w:rPr>
        <w:t>管理。</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建立健全</w:t>
      </w:r>
      <w:r>
        <w:rPr>
          <w:rFonts w:cs="Times New Roman"/>
          <w:color w:val="000000"/>
          <w:kern w:val="2"/>
          <w:sz w:val="21"/>
          <w:szCs w:val="21"/>
        </w:rPr>
        <w:t>校院</w:t>
      </w:r>
      <w:r>
        <w:rPr>
          <w:rFonts w:hint="eastAsia" w:cs="Times New Roman"/>
          <w:color w:val="000000"/>
          <w:kern w:val="2"/>
          <w:sz w:val="21"/>
          <w:szCs w:val="21"/>
        </w:rPr>
        <w:t>（系）</w:t>
      </w:r>
      <w:r>
        <w:rPr>
          <w:rFonts w:cs="Times New Roman"/>
          <w:color w:val="000000"/>
          <w:kern w:val="2"/>
          <w:sz w:val="21"/>
          <w:szCs w:val="21"/>
        </w:rPr>
        <w:t>两级的</w:t>
      </w:r>
      <w:r>
        <w:rPr>
          <w:rFonts w:hint="eastAsia" w:cs="Times New Roman"/>
          <w:color w:val="000000"/>
          <w:kern w:val="2"/>
          <w:sz w:val="21"/>
          <w:szCs w:val="21"/>
        </w:rPr>
        <w:t>质量保障体系</w:t>
      </w:r>
      <w:r>
        <w:rPr>
          <w:rFonts w:cs="Times New Roman"/>
          <w:color w:val="000000"/>
          <w:kern w:val="2"/>
          <w:sz w:val="21"/>
          <w:szCs w:val="21"/>
        </w:rPr>
        <w:t>。以保障和提高教学质量为目标，运用系统方法，依靠必要的组织结构，</w:t>
      </w:r>
      <w:r>
        <w:rPr>
          <w:rFonts w:hint="eastAsia" w:cs="Times New Roman"/>
          <w:color w:val="000000"/>
          <w:kern w:val="2"/>
          <w:sz w:val="21"/>
          <w:szCs w:val="21"/>
        </w:rPr>
        <w:t>统筹考虑</w:t>
      </w:r>
      <w:r>
        <w:rPr>
          <w:rFonts w:cs="Times New Roman"/>
          <w:color w:val="000000"/>
          <w:kern w:val="2"/>
          <w:sz w:val="21"/>
          <w:szCs w:val="21"/>
        </w:rPr>
        <w:t>影响教学质量的</w:t>
      </w:r>
      <w:r>
        <w:rPr>
          <w:rFonts w:hint="eastAsia" w:cs="Times New Roman"/>
          <w:color w:val="000000"/>
          <w:kern w:val="2"/>
          <w:sz w:val="21"/>
          <w:szCs w:val="21"/>
        </w:rPr>
        <w:t>各主要</w:t>
      </w:r>
      <w:r>
        <w:rPr>
          <w:rFonts w:cs="Times New Roman"/>
          <w:color w:val="000000"/>
          <w:kern w:val="2"/>
          <w:sz w:val="21"/>
          <w:szCs w:val="21"/>
        </w:rPr>
        <w:t>因素，</w:t>
      </w:r>
      <w:r>
        <w:rPr>
          <w:rFonts w:hint="eastAsia" w:cs="Times New Roman"/>
          <w:color w:val="000000"/>
          <w:kern w:val="2"/>
          <w:sz w:val="21"/>
          <w:szCs w:val="21"/>
        </w:rPr>
        <w:t>结合教学诊断与改进、质量年报等职业院校自主保证人才培养质量的工作，统筹管理</w:t>
      </w:r>
      <w:r>
        <w:rPr>
          <w:rFonts w:cs="Times New Roman"/>
          <w:color w:val="000000"/>
          <w:kern w:val="2"/>
          <w:sz w:val="21"/>
          <w:szCs w:val="21"/>
        </w:rPr>
        <w:t>学校各部门、各环节的教学质量管理活动，形成任务、职责、权限</w:t>
      </w:r>
      <w:r>
        <w:rPr>
          <w:rFonts w:hint="eastAsia" w:cs="Times New Roman"/>
          <w:color w:val="000000"/>
          <w:kern w:val="2"/>
          <w:sz w:val="21"/>
          <w:szCs w:val="21"/>
        </w:rPr>
        <w:t>明确，</w:t>
      </w:r>
      <w:r>
        <w:rPr>
          <w:rFonts w:cs="Times New Roman"/>
          <w:color w:val="000000"/>
          <w:kern w:val="2"/>
          <w:sz w:val="21"/>
          <w:szCs w:val="21"/>
        </w:rPr>
        <w:t>相互协调、相互促进的质量管理有机整体。</w:t>
      </w:r>
    </w:p>
    <w:p>
      <w:pPr>
        <w:widowControl/>
        <w:autoSpaceDE/>
        <w:autoSpaceDN/>
        <w:spacing w:line="400" w:lineRule="exact"/>
        <w:ind w:firstLine="316" w:firstLineChars="150"/>
        <w:rPr>
          <w:rFonts w:cs="Times New Roman"/>
          <w:b/>
          <w:color w:val="000000"/>
          <w:kern w:val="2"/>
          <w:sz w:val="21"/>
          <w:szCs w:val="21"/>
        </w:rPr>
      </w:pPr>
      <w:r>
        <w:rPr>
          <w:rFonts w:hint="eastAsia" w:cs="Times New Roman"/>
          <w:b/>
          <w:color w:val="000000"/>
          <w:kern w:val="2"/>
          <w:sz w:val="21"/>
          <w:szCs w:val="21"/>
        </w:rPr>
        <w:t>九、毕业要求</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1.完成五年全部课程的学习。</w:t>
      </w:r>
    </w:p>
    <w:p>
      <w:pPr>
        <w:autoSpaceDE/>
        <w:autoSpaceDN/>
        <w:spacing w:line="360" w:lineRule="exact"/>
        <w:ind w:firstLine="420" w:firstLineChars="200"/>
        <w:jc w:val="both"/>
        <w:rPr>
          <w:rFonts w:cs="Times New Roman"/>
          <w:color w:val="000000"/>
          <w:kern w:val="2"/>
          <w:sz w:val="21"/>
          <w:szCs w:val="21"/>
        </w:rPr>
      </w:pPr>
      <w:r>
        <w:rPr>
          <w:rFonts w:hint="eastAsia" w:cs="Times New Roman"/>
          <w:color w:val="000000"/>
          <w:kern w:val="2"/>
          <w:sz w:val="21"/>
          <w:szCs w:val="21"/>
        </w:rPr>
        <w:t>2.完成毕业作品并通过作品答辩。</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3.积极推行双（多）证书管理制度，将实践性教学安排与职业资格证书考核有机结合，学生在取得大专毕业证书的同时，在第八学期还应取得普通话水平二级甲等证书、网络编辑主持人资格证书、展览讲解员资格证。</w:t>
      </w:r>
    </w:p>
    <w:p>
      <w:pPr>
        <w:widowControl/>
        <w:autoSpaceDE/>
        <w:autoSpaceDN/>
        <w:spacing w:line="400" w:lineRule="exact"/>
        <w:ind w:firstLine="420" w:firstLineChars="200"/>
        <w:rPr>
          <w:rFonts w:cs="Times New Roman"/>
          <w:color w:val="000000"/>
          <w:kern w:val="2"/>
          <w:sz w:val="21"/>
          <w:szCs w:val="21"/>
        </w:rPr>
      </w:pPr>
      <w:r>
        <w:rPr>
          <w:rFonts w:hint="eastAsia" w:cs="Times New Roman"/>
          <w:color w:val="000000"/>
          <w:kern w:val="2"/>
          <w:sz w:val="21"/>
          <w:szCs w:val="21"/>
        </w:rPr>
        <w:t>4.完成顶岗实习</w:t>
      </w:r>
    </w:p>
    <w:p>
      <w:pPr>
        <w:widowControl/>
        <w:autoSpaceDE/>
        <w:autoSpaceDN/>
        <w:spacing w:line="400" w:lineRule="exact"/>
        <w:ind w:firstLine="316" w:firstLineChars="150"/>
        <w:rPr>
          <w:rFonts w:cs="Times New Roman"/>
          <w:b/>
          <w:color w:val="000000"/>
          <w:kern w:val="2"/>
          <w:sz w:val="21"/>
          <w:szCs w:val="21"/>
        </w:rPr>
      </w:pPr>
      <w:r>
        <w:rPr>
          <w:rFonts w:hint="eastAsia" w:cs="Times New Roman"/>
          <w:b/>
          <w:color w:val="000000"/>
          <w:kern w:val="2"/>
          <w:sz w:val="21"/>
          <w:szCs w:val="21"/>
        </w:rPr>
        <w:t>十、编制说明</w:t>
      </w:r>
    </w:p>
    <w:p>
      <w:pPr>
        <w:widowControl/>
        <w:autoSpaceDE/>
        <w:autoSpaceDN/>
        <w:spacing w:line="400" w:lineRule="exact"/>
        <w:ind w:firstLine="316" w:firstLineChars="150"/>
        <w:rPr>
          <w:rFonts w:cs="Times New Roman"/>
          <w:b/>
          <w:color w:val="000000"/>
          <w:kern w:val="2"/>
          <w:sz w:val="21"/>
          <w:szCs w:val="21"/>
        </w:rPr>
      </w:pPr>
      <w:r>
        <w:rPr>
          <w:rFonts w:hint="eastAsia" w:cs="Times New Roman"/>
          <w:b/>
          <w:color w:val="000000"/>
          <w:kern w:val="2"/>
          <w:sz w:val="21"/>
          <w:szCs w:val="21"/>
        </w:rPr>
        <w:t>（一）编制说明</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1.《国家职业教育改革实施方案的通知》（国发〔2019〕4号）；</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2.《教育部关于职业院校专业人才培养方案制定与实施工作的指导意见》（教职成〔2019〕13号）；</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3.《省政府办公厅关于深化产教融合的实施意见》（苏政办发〔2018〕48号）；</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4. 教育部颁《高等职业学校音乐播音与主持专业教学标准》；</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5.《江苏联合职业技术学院关于专业人才培养方案制（修）订与实施工作的指导意见》（苏联院〔2019〕12号）；</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6.江苏联合职业技术学院《关于人才培养方案中公共基础课程安排建议（试行）的通知》</w:t>
      </w:r>
    </w:p>
    <w:p>
      <w:pPr>
        <w:widowControl/>
        <w:autoSpaceDE/>
        <w:autoSpaceDN/>
        <w:spacing w:line="400" w:lineRule="exact"/>
        <w:ind w:firstLine="316" w:firstLineChars="150"/>
        <w:rPr>
          <w:rFonts w:cs="Times New Roman"/>
          <w:b/>
          <w:color w:val="000000"/>
          <w:kern w:val="2"/>
          <w:sz w:val="21"/>
          <w:szCs w:val="21"/>
        </w:rPr>
      </w:pPr>
      <w:r>
        <w:rPr>
          <w:rFonts w:hint="eastAsia" w:cs="Times New Roman"/>
          <w:b/>
          <w:color w:val="000000"/>
          <w:kern w:val="2"/>
          <w:sz w:val="21"/>
          <w:szCs w:val="21"/>
        </w:rPr>
        <w:t>（二）执行要求</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1.规范实施“4.5+0.5”人才培养模式，每学年教学时间40周，顶岗实习时间一般为6个月。前三年周学时为28课时，后两年周学时为26课时，顶岗实习一般按每周30学时计算。入学教育和军训安排在第一学期开学前开设，按每周30学时，计入实践课时。</w:t>
      </w:r>
    </w:p>
    <w:p>
      <w:pPr>
        <w:autoSpaceDE/>
        <w:autoSpaceDN/>
        <w:spacing w:line="360" w:lineRule="exact"/>
        <w:ind w:firstLine="420" w:firstLineChars="200"/>
        <w:rPr>
          <w:rFonts w:hint="eastAsia" w:cs="Times New Roman"/>
          <w:color w:val="000000"/>
          <w:kern w:val="2"/>
          <w:sz w:val="21"/>
          <w:szCs w:val="21"/>
        </w:rPr>
      </w:pPr>
      <w:r>
        <w:rPr>
          <w:rFonts w:hint="eastAsia" w:cs="Times New Roman"/>
          <w:color w:val="000000"/>
          <w:kern w:val="2"/>
          <w:sz w:val="21"/>
          <w:szCs w:val="21"/>
        </w:rPr>
        <w:t>2.理论教学和实践教学按16-18学时计1学分（小数点后数字小于5则舍去、大于5则进一位）。军训、入学教育、社会实践、毕业设计（或毕业论文、毕业教育）、顶岗实习等，1周计30个学时、1个学分。鼓励将学生取得的行业企业认可度高的有关职业技能等级证书或已掌握的有关技术技能，按一定规则折算为学历教育相应学分。</w:t>
      </w:r>
    </w:p>
    <w:p>
      <w:pPr>
        <w:autoSpaceDE/>
        <w:autoSpaceDN/>
        <w:spacing w:line="360" w:lineRule="exact"/>
        <w:ind w:firstLine="420" w:firstLineChars="200"/>
        <w:rPr>
          <w:rFonts w:hint="eastAsia" w:cs="Times New Roman"/>
          <w:color w:val="000000"/>
          <w:kern w:val="2"/>
          <w:sz w:val="21"/>
          <w:szCs w:val="21"/>
        </w:rPr>
      </w:pPr>
      <w:r>
        <w:rPr>
          <w:rFonts w:hint="eastAsia" w:cs="Times New Roman"/>
          <w:color w:val="000000"/>
          <w:kern w:val="2"/>
          <w:sz w:val="21"/>
          <w:szCs w:val="21"/>
        </w:rPr>
        <w:t xml:space="preserve"> 3.本方案所附教学时间安排参照表（见附表）为制定实施性人才培养方案的参考依据，总学时为47</w:t>
      </w:r>
      <w:r>
        <w:rPr>
          <w:rFonts w:hint="eastAsia" w:cs="Times New Roman"/>
          <w:color w:val="000000"/>
          <w:kern w:val="2"/>
          <w:sz w:val="21"/>
          <w:szCs w:val="21"/>
          <w:lang w:val="en-US" w:eastAsia="zh-CN"/>
        </w:rPr>
        <w:t>92</w:t>
      </w:r>
      <w:r>
        <w:rPr>
          <w:rFonts w:hint="eastAsia" w:cs="Times New Roman"/>
          <w:color w:val="000000"/>
          <w:kern w:val="2"/>
          <w:sz w:val="21"/>
          <w:szCs w:val="21"/>
        </w:rPr>
        <w:t>，其中公共基础课1692学时，占35.</w:t>
      </w:r>
      <w:r>
        <w:rPr>
          <w:rFonts w:hint="eastAsia" w:cs="Times New Roman"/>
          <w:color w:val="000000"/>
          <w:kern w:val="2"/>
          <w:sz w:val="21"/>
          <w:szCs w:val="21"/>
          <w:lang w:val="en-US" w:eastAsia="zh-CN"/>
        </w:rPr>
        <w:t>3</w:t>
      </w:r>
      <w:r>
        <w:rPr>
          <w:rFonts w:hint="eastAsia" w:cs="Times New Roman"/>
          <w:color w:val="000000"/>
          <w:kern w:val="2"/>
          <w:sz w:val="21"/>
          <w:szCs w:val="21"/>
        </w:rPr>
        <w:t>%；专业技能课153</w:t>
      </w:r>
      <w:r>
        <w:rPr>
          <w:rFonts w:hint="eastAsia" w:cs="Times New Roman"/>
          <w:color w:val="000000"/>
          <w:kern w:val="2"/>
          <w:sz w:val="21"/>
          <w:szCs w:val="21"/>
          <w:lang w:val="en-US" w:eastAsia="zh-CN"/>
        </w:rPr>
        <w:t>6</w:t>
      </w:r>
      <w:r>
        <w:rPr>
          <w:rFonts w:hint="eastAsia" w:cs="Times New Roman"/>
          <w:color w:val="000000"/>
          <w:kern w:val="2"/>
          <w:sz w:val="21"/>
          <w:szCs w:val="21"/>
        </w:rPr>
        <w:t>学时，占32.</w:t>
      </w:r>
      <w:r>
        <w:rPr>
          <w:rFonts w:hint="eastAsia" w:cs="Times New Roman"/>
          <w:color w:val="000000"/>
          <w:kern w:val="2"/>
          <w:sz w:val="21"/>
          <w:szCs w:val="21"/>
          <w:lang w:val="en-US" w:eastAsia="zh-CN"/>
        </w:rPr>
        <w:t>05</w:t>
      </w:r>
      <w:r>
        <w:rPr>
          <w:rFonts w:hint="eastAsia" w:cs="Times New Roman"/>
          <w:color w:val="000000"/>
          <w:kern w:val="2"/>
          <w:sz w:val="21"/>
          <w:szCs w:val="21"/>
        </w:rPr>
        <w:t>% ；</w:t>
      </w:r>
      <w:r>
        <w:rPr>
          <w:rFonts w:hint="eastAsia" w:cs="Times New Roman"/>
          <w:color w:val="000000"/>
          <w:kern w:val="2"/>
          <w:sz w:val="21"/>
          <w:szCs w:val="21"/>
          <w:lang w:val="en-US" w:eastAsia="zh-CN"/>
        </w:rPr>
        <w:t>专业技能实训项目课程288学时，占6.01</w:t>
      </w:r>
      <w:r>
        <w:rPr>
          <w:rFonts w:hint="eastAsia" w:cs="Times New Roman"/>
          <w:color w:val="000000"/>
          <w:kern w:val="2"/>
          <w:sz w:val="21"/>
          <w:szCs w:val="21"/>
        </w:rPr>
        <w:t>%</w:t>
      </w:r>
      <w:r>
        <w:rPr>
          <w:rFonts w:hint="eastAsia" w:cs="Times New Roman"/>
          <w:color w:val="000000"/>
          <w:kern w:val="2"/>
          <w:sz w:val="21"/>
          <w:szCs w:val="21"/>
          <w:lang w:eastAsia="zh-CN"/>
        </w:rPr>
        <w:t>；</w:t>
      </w:r>
      <w:r>
        <w:rPr>
          <w:rFonts w:hint="eastAsia" w:cs="Times New Roman"/>
          <w:color w:val="000000"/>
          <w:kern w:val="2"/>
          <w:sz w:val="21"/>
          <w:szCs w:val="21"/>
          <w:lang w:val="en-US" w:eastAsia="zh-CN"/>
        </w:rPr>
        <w:t>集中实践课程540学时，占11.27%；</w:t>
      </w:r>
      <w:r>
        <w:rPr>
          <w:rFonts w:hint="eastAsia" w:cs="Times New Roman"/>
          <w:color w:val="000000"/>
          <w:kern w:val="2"/>
          <w:sz w:val="21"/>
          <w:szCs w:val="21"/>
        </w:rPr>
        <w:t>任意选修课</w:t>
      </w:r>
      <w:r>
        <w:rPr>
          <w:rFonts w:hint="eastAsia" w:cs="Times New Roman"/>
          <w:color w:val="000000"/>
          <w:kern w:val="2"/>
          <w:sz w:val="21"/>
          <w:szCs w:val="21"/>
          <w:lang w:val="en-US" w:eastAsia="zh-CN"/>
        </w:rPr>
        <w:t>516</w:t>
      </w:r>
      <w:r>
        <w:rPr>
          <w:rFonts w:hint="eastAsia" w:cs="Times New Roman"/>
          <w:color w:val="000000"/>
          <w:kern w:val="2"/>
          <w:sz w:val="21"/>
          <w:szCs w:val="21"/>
        </w:rPr>
        <w:t>学时，占总课时的</w:t>
      </w:r>
      <w:r>
        <w:rPr>
          <w:rFonts w:hint="eastAsia" w:cs="Times New Roman"/>
          <w:color w:val="000000"/>
          <w:kern w:val="2"/>
          <w:sz w:val="21"/>
          <w:szCs w:val="21"/>
          <w:lang w:val="en-US" w:eastAsia="zh-CN"/>
        </w:rPr>
        <w:t>10.77</w:t>
      </w:r>
      <w:r>
        <w:rPr>
          <w:rFonts w:hint="eastAsia" w:cs="Times New Roman"/>
          <w:color w:val="000000"/>
          <w:kern w:val="2"/>
          <w:sz w:val="21"/>
          <w:szCs w:val="21"/>
        </w:rPr>
        <w:t>%；其他类教育活动</w:t>
      </w:r>
      <w:r>
        <w:rPr>
          <w:rFonts w:hint="eastAsia" w:cs="Times New Roman"/>
          <w:color w:val="000000"/>
          <w:kern w:val="2"/>
          <w:sz w:val="21"/>
          <w:szCs w:val="21"/>
          <w:lang w:val="en-US" w:eastAsia="zh-CN"/>
        </w:rPr>
        <w:t>220</w:t>
      </w:r>
      <w:r>
        <w:rPr>
          <w:rFonts w:hint="eastAsia" w:cs="Times New Roman"/>
          <w:color w:val="000000"/>
          <w:kern w:val="2"/>
          <w:sz w:val="21"/>
          <w:szCs w:val="21"/>
        </w:rPr>
        <w:t>学时，占</w:t>
      </w:r>
      <w:r>
        <w:rPr>
          <w:rFonts w:hint="eastAsia" w:cs="Times New Roman"/>
          <w:color w:val="000000"/>
          <w:kern w:val="2"/>
          <w:sz w:val="21"/>
          <w:szCs w:val="21"/>
          <w:lang w:val="en-US" w:eastAsia="zh-CN"/>
        </w:rPr>
        <w:t>4.6</w:t>
      </w:r>
      <w:r>
        <w:rPr>
          <w:rFonts w:hint="eastAsia" w:cs="Times New Roman"/>
          <w:color w:val="000000"/>
          <w:kern w:val="2"/>
          <w:sz w:val="21"/>
          <w:szCs w:val="21"/>
        </w:rPr>
        <w:t>%。总学分</w:t>
      </w:r>
      <w:r>
        <w:rPr>
          <w:rFonts w:hint="eastAsia" w:cs="Times New Roman"/>
          <w:color w:val="000000"/>
          <w:kern w:val="2"/>
          <w:sz w:val="21"/>
          <w:szCs w:val="21"/>
          <w:lang w:val="en-US" w:eastAsia="zh-CN"/>
        </w:rPr>
        <w:t>276</w:t>
      </w:r>
      <w:r>
        <w:rPr>
          <w:rFonts w:hint="eastAsia" w:cs="Times New Roman"/>
          <w:color w:val="000000"/>
          <w:kern w:val="2"/>
          <w:sz w:val="21"/>
          <w:szCs w:val="21"/>
        </w:rPr>
        <w:t>学分。</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4.劳动教育课程设置，依据教育部要求，以实习实训课为主要载体开展劳动教育，其中劳动精神、劳模精神、工匠精神专题教育已达到16学时。</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5.本方案总学分为：276学分。原则上理论教学16—18学时计算1学分，实践教学1周计算1学分，军训、入学教育、毕业教育等活动，以1周为1学分。取得3364学时和189学分即可认定完成规定的教学活动，各校可根据实际情况对课程学分进行微调，并制订学分奖励办法，对学有余力的学生经培训和社会化考核取得其他技能等级证书的学生，或参加各级各类技能竞赛获奖的学生进行奖励。学生取得相应的学分即可毕业。</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5.在执行本方案时，可根据实际情况进行适当调整，但专业平台课和专业实训项目课程的课程设置原则上不得调整，课程设置的时间、课时可作相应调整。</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6.顶岗实习是学生在校学习的重要组成部分，是培养学生综合职业能力的主要教学环节之一。顶岗实习教学计划由企业与学校根据生产岗位对从业人员素养的要求共同制订，教学活动主要由企业组织实施，学校参与教学管理和评价。</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7.毕业设计是培养学生综合运用所学知识和技能分析、解决实际问题的重要教学环节，是学生创新意识、创新能力和获取新知识、提高职业能力的培养过程。通过完成毕业设计应使学生受到生产、管理、服务实际工作中各环节的初步训练，培养学生掌握实际工作的方法和步骤，培养学生实事求是、谦虚谨慎、严肃认真的工作作风，培养学生刻苦钻研、勇于创新的科学精神。毕业设计的选题，应在满足专业人才培养目标的前提下，尽可能结合生产实际，使设计作品贴近市场。有能力的学校可安排学生联系企业进行品牌的设计与开发。</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8.积极推行双（多）证书管理制度，将实践性教学安排与职业资格证书考核有机结合，学生在取得大专毕业证书的同时，还应取得与专业相关的职业资格证书。鼓励学生经培训并通过社会化考核取得与提升职业能力相关的其他技术等级证书。</w:t>
      </w:r>
    </w:p>
    <w:p>
      <w:pPr>
        <w:autoSpaceDE/>
        <w:autoSpaceDN/>
        <w:spacing w:line="360" w:lineRule="exact"/>
        <w:ind w:firstLine="420" w:firstLineChars="200"/>
        <w:rPr>
          <w:rFonts w:cs="Times New Roman"/>
          <w:color w:val="000000"/>
          <w:kern w:val="2"/>
          <w:sz w:val="21"/>
          <w:szCs w:val="21"/>
        </w:rPr>
      </w:pPr>
      <w:r>
        <w:rPr>
          <w:rFonts w:hint="eastAsia" w:cs="Times New Roman"/>
          <w:color w:val="000000"/>
          <w:kern w:val="2"/>
          <w:sz w:val="21"/>
          <w:szCs w:val="21"/>
        </w:rPr>
        <w:t>8.人才培养方案制（修）订开发团队及核心成员名单。</w:t>
      </w:r>
    </w:p>
    <w:tbl>
      <w:tblPr>
        <w:tblStyle w:val="8"/>
        <w:tblW w:w="928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1276"/>
        <w:gridCol w:w="6627"/>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autoSpaceDE/>
              <w:autoSpaceDN/>
              <w:spacing w:line="360" w:lineRule="exact"/>
              <w:jc w:val="center"/>
              <w:rPr>
                <w:rFonts w:cs="Times New Roman"/>
                <w:b/>
                <w:bCs/>
                <w:color w:val="000000"/>
                <w:kern w:val="2"/>
                <w:sz w:val="21"/>
                <w:szCs w:val="21"/>
              </w:rPr>
            </w:pPr>
            <w:r>
              <w:rPr>
                <w:rFonts w:hint="eastAsia" w:cs="Times New Roman"/>
                <w:b/>
                <w:bCs/>
                <w:color w:val="000000"/>
                <w:kern w:val="2"/>
                <w:sz w:val="21"/>
                <w:szCs w:val="21"/>
              </w:rPr>
              <w:t>角色分工</w:t>
            </w:r>
          </w:p>
        </w:tc>
        <w:tc>
          <w:tcPr>
            <w:tcW w:w="1276" w:type="dxa"/>
          </w:tcPr>
          <w:p>
            <w:pPr>
              <w:autoSpaceDE/>
              <w:autoSpaceDN/>
              <w:spacing w:line="360" w:lineRule="exact"/>
              <w:jc w:val="center"/>
              <w:rPr>
                <w:rFonts w:cs="Times New Roman"/>
                <w:b/>
                <w:bCs/>
                <w:color w:val="000000"/>
                <w:kern w:val="2"/>
                <w:sz w:val="21"/>
                <w:szCs w:val="21"/>
              </w:rPr>
            </w:pPr>
            <w:r>
              <w:rPr>
                <w:rFonts w:hint="eastAsia" w:cs="Times New Roman"/>
                <w:b/>
                <w:bCs/>
                <w:color w:val="000000"/>
                <w:kern w:val="2"/>
                <w:sz w:val="21"/>
                <w:szCs w:val="21"/>
              </w:rPr>
              <w:t>姓  名</w:t>
            </w:r>
          </w:p>
        </w:tc>
        <w:tc>
          <w:tcPr>
            <w:tcW w:w="6627" w:type="dxa"/>
          </w:tcPr>
          <w:p>
            <w:pPr>
              <w:autoSpaceDE/>
              <w:autoSpaceDN/>
              <w:spacing w:line="360" w:lineRule="exact"/>
              <w:jc w:val="center"/>
              <w:rPr>
                <w:rFonts w:cs="Times New Roman"/>
                <w:b/>
                <w:bCs/>
                <w:color w:val="000000"/>
                <w:kern w:val="2"/>
                <w:sz w:val="21"/>
                <w:szCs w:val="21"/>
              </w:rPr>
            </w:pPr>
            <w:r>
              <w:rPr>
                <w:rFonts w:hint="eastAsia" w:cs="Times New Roman"/>
                <w:b/>
                <w:bCs/>
                <w:color w:val="000000"/>
                <w:kern w:val="2"/>
                <w:sz w:val="21"/>
                <w:szCs w:val="21"/>
              </w:rPr>
              <w:t>承担任务</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负责人</w:t>
            </w:r>
          </w:p>
        </w:tc>
        <w:tc>
          <w:tcPr>
            <w:tcW w:w="1276"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史  冲</w:t>
            </w:r>
          </w:p>
        </w:tc>
        <w:tc>
          <w:tcPr>
            <w:tcW w:w="6627"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统筹协调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主持人</w:t>
            </w:r>
          </w:p>
        </w:tc>
        <w:tc>
          <w:tcPr>
            <w:tcW w:w="1276"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李  茹</w:t>
            </w:r>
          </w:p>
        </w:tc>
        <w:tc>
          <w:tcPr>
            <w:tcW w:w="6627"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调研报告撰写、统稿</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PrEx>
        <w:trPr>
          <w:jc w:val="center"/>
        </w:trPr>
        <w:tc>
          <w:tcPr>
            <w:tcW w:w="1385"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核心成员</w:t>
            </w:r>
          </w:p>
        </w:tc>
        <w:tc>
          <w:tcPr>
            <w:tcW w:w="1276"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夏成晨</w:t>
            </w:r>
          </w:p>
        </w:tc>
        <w:tc>
          <w:tcPr>
            <w:tcW w:w="6627"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专业技能课程模块、课程设置学时分配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核心成员</w:t>
            </w:r>
          </w:p>
        </w:tc>
        <w:tc>
          <w:tcPr>
            <w:tcW w:w="1276"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杨姮钰</w:t>
            </w:r>
          </w:p>
        </w:tc>
        <w:tc>
          <w:tcPr>
            <w:tcW w:w="6627"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专业技能课程模块、内容制订</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核心成员</w:t>
            </w:r>
          </w:p>
        </w:tc>
        <w:tc>
          <w:tcPr>
            <w:tcW w:w="1276"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石春林</w:t>
            </w:r>
          </w:p>
        </w:tc>
        <w:tc>
          <w:tcPr>
            <w:tcW w:w="6627" w:type="dxa"/>
          </w:tcPr>
          <w:p>
            <w:pPr>
              <w:autoSpaceDE/>
              <w:autoSpaceDN/>
              <w:spacing w:line="360" w:lineRule="exact"/>
              <w:jc w:val="center"/>
              <w:rPr>
                <w:rFonts w:cs="Times New Roman"/>
                <w:color w:val="000000"/>
                <w:kern w:val="2"/>
                <w:sz w:val="21"/>
                <w:szCs w:val="21"/>
              </w:rPr>
            </w:pPr>
            <w:r>
              <w:rPr>
                <w:rFonts w:hint="eastAsia" w:cs="Times New Roman"/>
                <w:color w:val="000000"/>
                <w:kern w:val="2"/>
                <w:sz w:val="21"/>
                <w:szCs w:val="21"/>
              </w:rPr>
              <w:t>公共基础课程设置</w:t>
            </w:r>
          </w:p>
        </w:tc>
      </w:tr>
    </w:tbl>
    <w:p>
      <w:pPr>
        <w:pStyle w:val="4"/>
        <w:tabs>
          <w:tab w:val="left" w:pos="2033"/>
        </w:tabs>
        <w:spacing w:before="91" w:line="321" w:lineRule="auto"/>
        <w:ind w:left="982" w:right="5539" w:firstLine="11"/>
        <w:rPr>
          <w:b/>
        </w:rPr>
      </w:pPr>
      <w:bookmarkStart w:id="2" w:name="十一、附录"/>
      <w:bookmarkEnd w:id="2"/>
      <w:r>
        <w:rPr>
          <w:b/>
        </w:rPr>
        <w:t>十一、附录</w:t>
      </w:r>
    </w:p>
    <w:p>
      <w:pPr>
        <w:pStyle w:val="4"/>
        <w:spacing w:line="267" w:lineRule="exact"/>
        <w:ind w:left="994"/>
      </w:pPr>
      <w:r>
        <w:t>教学进程安排表</w:t>
      </w:r>
    </w:p>
    <w:p>
      <w:pPr>
        <w:spacing w:line="267" w:lineRule="exact"/>
        <w:sectPr>
          <w:footerReference r:id="rId3" w:type="default"/>
          <w:pgSz w:w="12240" w:h="15840"/>
          <w:pgMar w:top="1460" w:right="1247" w:bottom="1160" w:left="1240" w:header="0" w:footer="883" w:gutter="0"/>
          <w:cols w:space="720" w:num="1"/>
        </w:sectPr>
      </w:pPr>
    </w:p>
    <w:p/>
    <w:sectPr>
      <w:footerReference r:id="rId4" w:type="default"/>
      <w:pgSz w:w="11910" w:h="16840"/>
      <w:pgMar w:top="1259" w:right="280" w:bottom="958" w:left="560" w:header="0" w:footer="0" w:gutter="0"/>
      <w:paperSrc/>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mc:AlternateContent>
        <mc:Choice Requires="wps">
          <w:drawing>
            <wp:anchor distT="0" distB="0" distL="0" distR="0" simplePos="0" relativeHeight="251659264" behindDoc="1" locked="0" layoutInCell="1" allowOverlap="1">
              <wp:simplePos x="0" y="0"/>
              <wp:positionH relativeFrom="page">
                <wp:posOffset>3789680</wp:posOffset>
              </wp:positionH>
              <wp:positionV relativeFrom="page">
                <wp:posOffset>9307195</wp:posOffset>
              </wp:positionV>
              <wp:extent cx="222250" cy="139700"/>
              <wp:effectExtent l="0" t="0" r="0" b="0"/>
              <wp:wrapNone/>
              <wp:docPr id="4098" name="文本框 2"/>
              <wp:cNvGraphicFramePr/>
              <a:graphic xmlns:a="http://schemas.openxmlformats.org/drawingml/2006/main">
                <a:graphicData uri="http://schemas.microsoft.com/office/word/2010/wordprocessingShape">
                  <wps:wsp>
                    <wps:cNvSpPr/>
                    <wps:spPr>
                      <a:xfrm>
                        <a:off x="0" y="0"/>
                        <a:ext cx="222250" cy="139700"/>
                      </a:xfrm>
                      <a:prstGeom prst="rect">
                        <a:avLst/>
                      </a:prstGeom>
                      <a:ln>
                        <a:noFill/>
                      </a:ln>
                    </wps:spPr>
                    <wps:txbx>
                      <w:txbxContent>
                        <w:p>
                          <w:pPr>
                            <w:spacing w:line="220" w:lineRule="exact"/>
                            <w:ind w:left="60"/>
                            <w:rPr>
                              <w:rFonts w:ascii="宋体"/>
                              <w:sz w:val="18"/>
                            </w:rPr>
                          </w:pPr>
                          <w:r>
                            <w:fldChar w:fldCharType="begin"/>
                          </w:r>
                          <w:r>
                            <w:rPr>
                              <w:rFonts w:ascii="宋体"/>
                              <w:sz w:val="18"/>
                            </w:rPr>
                            <w:instrText xml:space="preserve"> PAGE </w:instrText>
                          </w:r>
                          <w:r>
                            <w:fldChar w:fldCharType="separate"/>
                          </w:r>
                          <w:r>
                            <w:t>10</w:t>
                          </w:r>
                          <w:r>
                            <w:fldChar w:fldCharType="end"/>
                          </w:r>
                          <w:r>
                            <w:rPr>
                              <w:rFonts w:ascii="宋体"/>
                              <w:sz w:val="18"/>
                            </w:rPr>
                            <w:t xml:space="preserve"> </w:t>
                          </w:r>
                        </w:p>
                      </w:txbxContent>
                    </wps:txbx>
                    <wps:bodyPr wrap="square" lIns="0" tIns="0" rIns="0" bIns="0" anchor="t" upright="1"/>
                  </wps:wsp>
                </a:graphicData>
              </a:graphic>
            </wp:anchor>
          </w:drawing>
        </mc:Choice>
        <mc:Fallback>
          <w:pict>
            <v:rect id="文本框 2" o:spid="_x0000_s1026" o:spt="1" style="position:absolute;left:0pt;margin-left:298.4pt;margin-top:732.85pt;height:11pt;width:17.5pt;mso-position-horizontal-relative:page;mso-position-vertical-relative:page;z-index:-251657216;mso-width-relative:page;mso-height-relative:page;" filled="f" stroked="f" coordsize="21600,21600" o:gfxdata="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W/U7vbAAAADQEAAA8AAAAAAAAAAQAgAAAAIgAAAGRycy9kb3du&#10;cmV2LnhtbFBLAQIUABQAAAAIAIdO4kBsYGykwwEAAHgDAAAOAAAAAAAAAAEAIAAAACoBAABkcnMv&#10;ZTJvRG9jLnhtbFBLBQYAAAAABgAGAFkBAABfBQAAAAA=&#10;">
              <v:fill on="f" focussize="0,0"/>
              <v:stroke on="f"/>
              <v:imagedata o:title=""/>
              <o:lock v:ext="edit" aspectratio="f"/>
              <v:textbox inset="0mm,0mm,0mm,0mm">
                <w:txbxContent>
                  <w:p>
                    <w:pPr>
                      <w:spacing w:line="220" w:lineRule="exact"/>
                      <w:ind w:left="60"/>
                      <w:rPr>
                        <w:rFonts w:ascii="宋体"/>
                        <w:sz w:val="18"/>
                      </w:rPr>
                    </w:pPr>
                    <w:r>
                      <w:fldChar w:fldCharType="begin"/>
                    </w:r>
                    <w:r>
                      <w:rPr>
                        <w:rFonts w:ascii="宋体"/>
                        <w:sz w:val="18"/>
                      </w:rPr>
                      <w:instrText xml:space="preserve"> PAGE </w:instrText>
                    </w:r>
                    <w:r>
                      <w:fldChar w:fldCharType="separate"/>
                    </w:r>
                    <w:r>
                      <w:t>10</w:t>
                    </w:r>
                    <w:r>
                      <w:fldChar w:fldCharType="end"/>
                    </w:r>
                    <w:r>
                      <w:rPr>
                        <w:rFonts w:ascii="宋体"/>
                        <w:sz w:val="18"/>
                      </w:rPr>
                      <w:t xml:space="preserve"> </w:t>
                    </w:r>
                  </w:p>
                </w:txbxContent>
              </v:textbox>
            </v:rect>
          </w:pict>
        </mc:Fallback>
      </mc:AlternateContent>
    </w:r>
    <w:r>
      <mc:AlternateContent>
        <mc:Choice Requires="wps">
          <w:drawing>
            <wp:anchor distT="0" distB="0" distL="0" distR="0" simplePos="0" relativeHeight="251659264" behindDoc="1" locked="0" layoutInCell="1" allowOverlap="1">
              <wp:simplePos x="0" y="0"/>
              <wp:positionH relativeFrom="page">
                <wp:posOffset>1130300</wp:posOffset>
              </wp:positionH>
              <wp:positionV relativeFrom="page">
                <wp:posOffset>9457055</wp:posOffset>
              </wp:positionV>
              <wp:extent cx="82550" cy="139700"/>
              <wp:effectExtent l="0" t="0" r="0" b="0"/>
              <wp:wrapNone/>
              <wp:docPr id="4099" name="文本框 1"/>
              <wp:cNvGraphicFramePr/>
              <a:graphic xmlns:a="http://schemas.openxmlformats.org/drawingml/2006/main">
                <a:graphicData uri="http://schemas.microsoft.com/office/word/2010/wordprocessingShape">
                  <wps:wsp>
                    <wps:cNvSpPr/>
                    <wps:spPr>
                      <a:xfrm>
                        <a:off x="0" y="0"/>
                        <a:ext cx="82550" cy="139700"/>
                      </a:xfrm>
                      <a:prstGeom prst="rect">
                        <a:avLst/>
                      </a:prstGeom>
                      <a:ln>
                        <a:noFill/>
                      </a:ln>
                    </wps:spPr>
                    <wps:txbx>
                      <w:txbxContent>
                        <w:p>
                          <w:pPr>
                            <w:spacing w:line="220" w:lineRule="exact"/>
                            <w:ind w:left="20"/>
                            <w:rPr>
                              <w:rFonts w:ascii="宋体"/>
                              <w:sz w:val="18"/>
                            </w:rPr>
                          </w:pPr>
                          <w:r>
                            <w:rPr>
                              <w:rFonts w:ascii="宋体"/>
                              <w:sz w:val="18"/>
                            </w:rPr>
                            <w:t xml:space="preserve"> </w:t>
                          </w:r>
                        </w:p>
                      </w:txbxContent>
                    </wps:txbx>
                    <wps:bodyPr wrap="square" lIns="0" tIns="0" rIns="0" bIns="0" anchor="t" upright="1"/>
                  </wps:wsp>
                </a:graphicData>
              </a:graphic>
            </wp:anchor>
          </w:drawing>
        </mc:Choice>
        <mc:Fallback>
          <w:pict>
            <v:rect id="文本框 1" o:spid="_x0000_s1026" o:spt="1" style="position:absolute;left:0pt;margin-left:89pt;margin-top:744.65pt;height:11pt;width:6.5pt;mso-position-horizontal-relative:page;mso-position-vertical-relative:page;z-index:-251657216;mso-width-relative:page;mso-height-relative:page;" filled="f" stroked="f" coordsize="21600,21600" o:gfxdata="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5ATUPaAAAADQEAAA8AAAAAAAAAAQAgAAAAIgAAAGRycy9kb3du&#10;cmV2LnhtbFBLAQIUABQAAAAIAIdO4kDxQswixAEAAHcDAAAOAAAAAAAAAAEAIAAAACkBAABkcnMv&#10;ZTJvRG9jLnhtbFBLBQYAAAAABgAGAFkBAABfBQAAAAA=&#10;">
              <v:fill on="f" focussize="0,0"/>
              <v:stroke on="f"/>
              <v:imagedata o:title=""/>
              <o:lock v:ext="edit" aspectratio="f"/>
              <v:textbox inset="0mm,0mm,0mm,0mm">
                <w:txbxContent>
                  <w:p>
                    <w:pPr>
                      <w:spacing w:line="220" w:lineRule="exact"/>
                      <w:ind w:left="20"/>
                      <w:rPr>
                        <w:rFonts w:ascii="宋体"/>
                        <w:sz w:val="18"/>
                      </w:rPr>
                    </w:pPr>
                    <w:r>
                      <w:rPr>
                        <w:rFonts w:ascii="宋体"/>
                        <w:sz w:val="1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6EE56B"/>
    <w:multiLevelType w:val="singleLevel"/>
    <w:tmpl w:val="AE6EE56B"/>
    <w:lvl w:ilvl="0" w:tentative="0">
      <w:start w:val="3"/>
      <w:numFmt w:val="chineseCounting"/>
      <w:suff w:val="nothing"/>
      <w:lvlText w:val="%1、"/>
      <w:lvlJc w:val="left"/>
      <w:rPr>
        <w:rFonts w:hint="eastAsia"/>
      </w:rPr>
    </w:lvl>
  </w:abstractNum>
  <w:abstractNum w:abstractNumId="1">
    <w:nsid w:val="4FFDE7D2"/>
    <w:multiLevelType w:val="singleLevel"/>
    <w:tmpl w:val="4FFDE7D2"/>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939"/>
    <w:rsid w:val="00003A15"/>
    <w:rsid w:val="00063939"/>
    <w:rsid w:val="000A4AEA"/>
    <w:rsid w:val="000E1565"/>
    <w:rsid w:val="0012550C"/>
    <w:rsid w:val="00147C49"/>
    <w:rsid w:val="0018389F"/>
    <w:rsid w:val="001A1F58"/>
    <w:rsid w:val="001A6886"/>
    <w:rsid w:val="002252B7"/>
    <w:rsid w:val="00295264"/>
    <w:rsid w:val="002A2216"/>
    <w:rsid w:val="00572F13"/>
    <w:rsid w:val="005B22CB"/>
    <w:rsid w:val="0063613D"/>
    <w:rsid w:val="0065026B"/>
    <w:rsid w:val="006F6F62"/>
    <w:rsid w:val="007A730D"/>
    <w:rsid w:val="0083187D"/>
    <w:rsid w:val="009921CC"/>
    <w:rsid w:val="009C4DE9"/>
    <w:rsid w:val="009D6309"/>
    <w:rsid w:val="009F5A42"/>
    <w:rsid w:val="00A257E5"/>
    <w:rsid w:val="00A91614"/>
    <w:rsid w:val="00BA0B6E"/>
    <w:rsid w:val="00BC5BBC"/>
    <w:rsid w:val="00C15E77"/>
    <w:rsid w:val="00C51306"/>
    <w:rsid w:val="00C51AF4"/>
    <w:rsid w:val="00D24327"/>
    <w:rsid w:val="00DC2501"/>
    <w:rsid w:val="00DF0645"/>
    <w:rsid w:val="00EF701B"/>
    <w:rsid w:val="00FC5F31"/>
    <w:rsid w:val="01FB28E1"/>
    <w:rsid w:val="02FE5C66"/>
    <w:rsid w:val="05847029"/>
    <w:rsid w:val="07710197"/>
    <w:rsid w:val="0A6D1D7E"/>
    <w:rsid w:val="0D6C5F9B"/>
    <w:rsid w:val="0F027552"/>
    <w:rsid w:val="0FAA6BFF"/>
    <w:rsid w:val="12F14550"/>
    <w:rsid w:val="13226B74"/>
    <w:rsid w:val="18CC3E27"/>
    <w:rsid w:val="1AE26C7D"/>
    <w:rsid w:val="1B5F3D0A"/>
    <w:rsid w:val="1C532EF0"/>
    <w:rsid w:val="21980632"/>
    <w:rsid w:val="21BF022F"/>
    <w:rsid w:val="23D84638"/>
    <w:rsid w:val="263A1914"/>
    <w:rsid w:val="27981159"/>
    <w:rsid w:val="29966BBE"/>
    <w:rsid w:val="2A254FB7"/>
    <w:rsid w:val="2AB21585"/>
    <w:rsid w:val="2B4B7CFB"/>
    <w:rsid w:val="2D1D1525"/>
    <w:rsid w:val="2FD53DBF"/>
    <w:rsid w:val="31E061D7"/>
    <w:rsid w:val="31FC2F8D"/>
    <w:rsid w:val="348D5D2F"/>
    <w:rsid w:val="35356E8F"/>
    <w:rsid w:val="35B119E5"/>
    <w:rsid w:val="36B3505D"/>
    <w:rsid w:val="37B171F5"/>
    <w:rsid w:val="38795CB4"/>
    <w:rsid w:val="3BD20A8D"/>
    <w:rsid w:val="3D0F777B"/>
    <w:rsid w:val="3D931581"/>
    <w:rsid w:val="3DF21656"/>
    <w:rsid w:val="417B0C29"/>
    <w:rsid w:val="41D21085"/>
    <w:rsid w:val="47245547"/>
    <w:rsid w:val="47BD08A9"/>
    <w:rsid w:val="4B6B2FB0"/>
    <w:rsid w:val="4BE74DAF"/>
    <w:rsid w:val="4DDD35D5"/>
    <w:rsid w:val="581561B3"/>
    <w:rsid w:val="59A44B45"/>
    <w:rsid w:val="5FF06FE6"/>
    <w:rsid w:val="60CC27E7"/>
    <w:rsid w:val="60D16CAE"/>
    <w:rsid w:val="62A27872"/>
    <w:rsid w:val="674F4E43"/>
    <w:rsid w:val="67506BB7"/>
    <w:rsid w:val="6A670D96"/>
    <w:rsid w:val="71672AAC"/>
    <w:rsid w:val="72636332"/>
    <w:rsid w:val="727404E4"/>
    <w:rsid w:val="768E31FA"/>
    <w:rsid w:val="76B04FD2"/>
    <w:rsid w:val="776A70CD"/>
    <w:rsid w:val="796920EF"/>
    <w:rsid w:val="7A7E7A8E"/>
    <w:rsid w:val="7CCE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en-US" w:eastAsia="zh-CN" w:bidi="ar-SA"/>
    </w:rPr>
  </w:style>
  <w:style w:type="paragraph" w:styleId="2">
    <w:name w:val="heading 1"/>
    <w:basedOn w:val="1"/>
    <w:next w:val="1"/>
    <w:qFormat/>
    <w:uiPriority w:val="9"/>
    <w:pPr>
      <w:ind w:left="982"/>
      <w:outlineLvl w:val="0"/>
    </w:pPr>
    <w:rPr>
      <w:b/>
      <w:bCs/>
      <w:sz w:val="21"/>
      <w:szCs w:val="21"/>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Normal Indent"/>
    <w:basedOn w:val="1"/>
    <w:unhideWhenUsed/>
    <w:qFormat/>
    <w:uiPriority w:val="99"/>
    <w:pPr>
      <w:widowControl/>
      <w:spacing w:before="100" w:beforeAutospacing="1" w:after="100" w:afterAutospacing="1"/>
    </w:pPr>
    <w:rPr>
      <w:rFonts w:ascii="宋体" w:hAnsi="宋体" w:cs="宋体"/>
      <w:sz w:val="24"/>
    </w:rPr>
  </w:style>
  <w:style w:type="paragraph" w:styleId="4">
    <w:name w:val="Body Text"/>
    <w:basedOn w:val="1"/>
    <w:qFormat/>
    <w:uiPriority w:val="1"/>
    <w:pPr>
      <w:ind w:left="559"/>
    </w:pPr>
    <w:rPr>
      <w:sz w:val="21"/>
      <w:szCs w:val="21"/>
    </w:rPr>
  </w:style>
  <w:style w:type="paragraph" w:styleId="5">
    <w:name w:val="footer"/>
    <w:basedOn w:val="1"/>
    <w:link w:val="74"/>
    <w:uiPriority w:val="0"/>
    <w:pPr>
      <w:tabs>
        <w:tab w:val="center" w:pos="4153"/>
        <w:tab w:val="right" w:pos="8306"/>
      </w:tabs>
      <w:snapToGrid w:val="0"/>
    </w:pPr>
    <w:rPr>
      <w:sz w:val="18"/>
      <w:szCs w:val="18"/>
    </w:rPr>
  </w:style>
  <w:style w:type="paragraph" w:styleId="6">
    <w:name w:val="header"/>
    <w:basedOn w:val="1"/>
    <w:link w:val="73"/>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10"/>
    <w:pPr>
      <w:ind w:left="320" w:right="1974"/>
      <w:jc w:val="center"/>
    </w:pPr>
    <w:rPr>
      <w:rFonts w:ascii="宋体" w:hAnsi="宋体" w:eastAsia="宋体" w:cs="宋体"/>
      <w:sz w:val="36"/>
      <w:szCs w:val="36"/>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99"/>
    <w:rPr>
      <w:color w:val="800080"/>
      <w:u w:val="single"/>
    </w:rPr>
  </w:style>
  <w:style w:type="character" w:styleId="12">
    <w:name w:val="Hyperlink"/>
    <w:basedOn w:val="10"/>
    <w:qFormat/>
    <w:uiPriority w:val="99"/>
    <w:rPr>
      <w:color w:val="0000FF"/>
      <w:u w:val="single"/>
    </w:rPr>
  </w:style>
  <w:style w:type="table" w:customStyle="1" w:styleId="13">
    <w:name w:val="Table Normal"/>
    <w:qFormat/>
    <w:uiPriority w:val="2"/>
    <w:tblPr>
      <w:tblCellMar>
        <w:top w:w="0" w:type="dxa"/>
        <w:left w:w="0" w:type="dxa"/>
        <w:bottom w:w="0" w:type="dxa"/>
        <w:right w:w="0" w:type="dxa"/>
      </w:tblCellMar>
    </w:tblPr>
  </w:style>
  <w:style w:type="paragraph" w:styleId="14">
    <w:name w:val="List Paragraph"/>
    <w:basedOn w:val="1"/>
    <w:qFormat/>
    <w:uiPriority w:val="1"/>
    <w:pPr>
      <w:ind w:left="560" w:hanging="213"/>
    </w:pPr>
  </w:style>
  <w:style w:type="paragraph" w:customStyle="1" w:styleId="15">
    <w:name w:val="Table Paragraph"/>
    <w:basedOn w:val="1"/>
    <w:qFormat/>
    <w:uiPriority w:val="1"/>
  </w:style>
  <w:style w:type="paragraph" w:customStyle="1" w:styleId="16">
    <w:name w:val="msonormal"/>
    <w:basedOn w:val="1"/>
    <w:qFormat/>
    <w:uiPriority w:val="0"/>
    <w:pPr>
      <w:widowControl/>
      <w:autoSpaceDE/>
      <w:autoSpaceDN/>
      <w:spacing w:before="100" w:beforeAutospacing="1" w:after="100" w:afterAutospacing="1"/>
    </w:pPr>
    <w:rPr>
      <w:rFonts w:ascii="宋体" w:hAnsi="宋体" w:eastAsia="宋体" w:cs="宋体"/>
      <w:sz w:val="24"/>
      <w:szCs w:val="24"/>
    </w:rPr>
  </w:style>
  <w:style w:type="paragraph" w:customStyle="1" w:styleId="17">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19">
    <w:name w:val="xl67"/>
    <w:basedOn w:val="1"/>
    <w:qFormat/>
    <w:uiPriority w:val="0"/>
    <w:pPr>
      <w:widowControl/>
      <w:pBdr>
        <w:top w:val="single" w:color="auto" w:sz="4" w:space="0"/>
        <w:left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20">
    <w:name w:val="xl68"/>
    <w:basedOn w:val="1"/>
    <w:qFormat/>
    <w:uiPriority w:val="0"/>
    <w:pPr>
      <w:widowControl/>
      <w:pBdr>
        <w:left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21">
    <w:name w:val="xl69"/>
    <w:basedOn w:val="1"/>
    <w:qFormat/>
    <w:uiPriority w:val="0"/>
    <w:pPr>
      <w:widowControl/>
      <w:pBdr>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23">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24">
    <w:name w:val="xl72"/>
    <w:basedOn w:val="1"/>
    <w:qFormat/>
    <w:uiPriority w:val="0"/>
    <w:pPr>
      <w:widowControl/>
      <w:pBdr>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25">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26">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27">
    <w:name w:val="xl75"/>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b/>
      <w:bCs/>
      <w:sz w:val="24"/>
      <w:szCs w:val="24"/>
    </w:rPr>
  </w:style>
  <w:style w:type="paragraph" w:customStyle="1" w:styleId="28">
    <w:name w:val="xl76"/>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24"/>
      <w:szCs w:val="24"/>
    </w:rPr>
  </w:style>
  <w:style w:type="paragraph" w:customStyle="1" w:styleId="29">
    <w:name w:val="xl77"/>
    <w:basedOn w:val="1"/>
    <w:qFormat/>
    <w:uiPriority w:val="0"/>
    <w:pPr>
      <w:widowControl/>
      <w:shd w:val="clear" w:color="000000" w:fill="FFFFFF"/>
      <w:autoSpaceDE/>
      <w:autoSpaceDN/>
      <w:spacing w:before="100" w:beforeAutospacing="1" w:after="100" w:afterAutospacing="1"/>
      <w:jc w:val="center"/>
    </w:pPr>
    <w:rPr>
      <w:rFonts w:ascii="宋体" w:hAnsi="宋体" w:eastAsia="宋体" w:cs="宋体"/>
      <w:sz w:val="20"/>
      <w:szCs w:val="20"/>
    </w:rPr>
  </w:style>
  <w:style w:type="paragraph" w:customStyle="1" w:styleId="30">
    <w:name w:val="xl78"/>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宋体" w:hAnsi="宋体" w:eastAsia="宋体" w:cs="宋体"/>
      <w:sz w:val="24"/>
      <w:szCs w:val="24"/>
    </w:rPr>
  </w:style>
  <w:style w:type="paragraph" w:customStyle="1" w:styleId="31">
    <w:name w:val="xl79"/>
    <w:basedOn w:val="1"/>
    <w:qFormat/>
    <w:uiPriority w:val="0"/>
    <w:pPr>
      <w:widowControl/>
      <w:shd w:val="clear" w:color="000000" w:fill="FFFFFF"/>
      <w:autoSpaceDE/>
      <w:autoSpaceDN/>
      <w:spacing w:before="100" w:beforeAutospacing="1" w:after="100" w:afterAutospacing="1"/>
      <w:jc w:val="center"/>
    </w:pPr>
    <w:rPr>
      <w:rFonts w:ascii="宋体" w:hAnsi="宋体" w:eastAsia="宋体" w:cs="宋体"/>
      <w:sz w:val="20"/>
      <w:szCs w:val="20"/>
    </w:rPr>
  </w:style>
  <w:style w:type="paragraph" w:customStyle="1" w:styleId="32">
    <w:name w:val="xl80"/>
    <w:basedOn w:val="1"/>
    <w:qFormat/>
    <w:uiPriority w:val="0"/>
    <w:pPr>
      <w:widowControl/>
      <w:pBdr>
        <w:top w:val="single" w:color="auto" w:sz="4" w:space="0"/>
        <w:left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b/>
      <w:bCs/>
      <w:sz w:val="32"/>
      <w:szCs w:val="32"/>
    </w:rPr>
  </w:style>
  <w:style w:type="paragraph" w:customStyle="1" w:styleId="33">
    <w:name w:val="xl81"/>
    <w:basedOn w:val="1"/>
    <w:qFormat/>
    <w:uiPriority w:val="0"/>
    <w:pPr>
      <w:widowControl/>
      <w:pBdr>
        <w:top w:val="single" w:color="auto" w:sz="4" w:space="0"/>
        <w:left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b/>
      <w:bCs/>
      <w:sz w:val="32"/>
      <w:szCs w:val="32"/>
    </w:rPr>
  </w:style>
  <w:style w:type="paragraph" w:customStyle="1" w:styleId="34">
    <w:name w:val="xl82"/>
    <w:basedOn w:val="1"/>
    <w:qFormat/>
    <w:uiPriority w:val="0"/>
    <w:pPr>
      <w:widowControl/>
      <w:pBdr>
        <w:top w:val="single" w:color="auto" w:sz="4" w:space="0"/>
        <w:left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35">
    <w:name w:val="xl83"/>
    <w:basedOn w:val="1"/>
    <w:qFormat/>
    <w:uiPriority w:val="0"/>
    <w:pPr>
      <w:widowControl/>
      <w:pBdr>
        <w:top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36">
    <w:name w:val="xl84"/>
    <w:basedOn w:val="1"/>
    <w:qFormat/>
    <w:uiPriority w:val="0"/>
    <w:pPr>
      <w:widowControl/>
      <w:pBdr>
        <w:top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37">
    <w:name w:val="xl85"/>
    <w:basedOn w:val="1"/>
    <w:qFormat/>
    <w:uiPriority w:val="0"/>
    <w:pPr>
      <w:widowControl/>
      <w:pBdr>
        <w:top w:val="single" w:color="auto" w:sz="4" w:space="0"/>
        <w:left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38">
    <w:name w:val="xl86"/>
    <w:basedOn w:val="1"/>
    <w:qFormat/>
    <w:uiPriority w:val="0"/>
    <w:pPr>
      <w:widowControl/>
      <w:pBdr>
        <w:top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39">
    <w:name w:val="xl87"/>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24"/>
      <w:szCs w:val="24"/>
    </w:rPr>
  </w:style>
  <w:style w:type="paragraph" w:customStyle="1" w:styleId="40">
    <w:name w:val="xl88"/>
    <w:basedOn w:val="1"/>
    <w:qFormat/>
    <w:uiPriority w:val="0"/>
    <w:pPr>
      <w:widowControl/>
      <w:pBdr>
        <w:top w:val="single" w:color="auto" w:sz="4" w:space="0"/>
        <w:left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41">
    <w:name w:val="xl89"/>
    <w:basedOn w:val="1"/>
    <w:qFormat/>
    <w:uiPriority w:val="0"/>
    <w:pPr>
      <w:widowControl/>
      <w:pBdr>
        <w:top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42">
    <w:name w:val="xl90"/>
    <w:basedOn w:val="1"/>
    <w:qFormat/>
    <w:uiPriority w:val="0"/>
    <w:pPr>
      <w:widowControl/>
      <w:pBdr>
        <w:top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43">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pPr>
    <w:rPr>
      <w:rFonts w:ascii="宋体" w:hAnsi="宋体" w:eastAsia="宋体" w:cs="宋体"/>
      <w:sz w:val="24"/>
      <w:szCs w:val="24"/>
    </w:rPr>
  </w:style>
  <w:style w:type="paragraph" w:customStyle="1" w:styleId="44">
    <w:name w:val="xl92"/>
    <w:basedOn w:val="1"/>
    <w:qFormat/>
    <w:uiPriority w:val="0"/>
    <w:pPr>
      <w:widowControl/>
      <w:pBdr>
        <w:top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45">
    <w:name w:val="xl93"/>
    <w:basedOn w:val="1"/>
    <w:qFormat/>
    <w:uiPriority w:val="0"/>
    <w:pPr>
      <w:widowControl/>
      <w:pBdr>
        <w:top w:val="single" w:color="auto" w:sz="4" w:space="0"/>
        <w:left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b/>
      <w:bCs/>
      <w:sz w:val="24"/>
      <w:szCs w:val="24"/>
    </w:rPr>
  </w:style>
  <w:style w:type="paragraph" w:customStyle="1" w:styleId="46">
    <w:name w:val="xl94"/>
    <w:basedOn w:val="1"/>
    <w:qFormat/>
    <w:uiPriority w:val="0"/>
    <w:pPr>
      <w:widowControl/>
      <w:pBdr>
        <w:left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47">
    <w:name w:val="xl95"/>
    <w:basedOn w:val="1"/>
    <w:qFormat/>
    <w:uiPriority w:val="0"/>
    <w:pPr>
      <w:widowControl/>
      <w:pBdr>
        <w:top w:val="single" w:color="auto" w:sz="4" w:space="0"/>
        <w:lef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48">
    <w:name w:val="xl96"/>
    <w:basedOn w:val="1"/>
    <w:qFormat/>
    <w:uiPriority w:val="0"/>
    <w:pPr>
      <w:widowControl/>
      <w:pBdr>
        <w:lef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49">
    <w:name w:val="xl97"/>
    <w:basedOn w:val="1"/>
    <w:qFormat/>
    <w:uiPriority w:val="0"/>
    <w:pPr>
      <w:widowControl/>
      <w:pBdr>
        <w:top w:val="single" w:color="auto" w:sz="4" w:space="0"/>
        <w:lef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0">
    <w:name w:val="xl98"/>
    <w:basedOn w:val="1"/>
    <w:qFormat/>
    <w:uiPriority w:val="0"/>
    <w:pPr>
      <w:widowControl/>
      <w:pBdr>
        <w:top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1">
    <w:name w:val="xl99"/>
    <w:basedOn w:val="1"/>
    <w:qFormat/>
    <w:uiPriority w:val="0"/>
    <w:pPr>
      <w:widowControl/>
      <w:pBdr>
        <w:lef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2">
    <w:name w:val="xl100"/>
    <w:basedOn w:val="1"/>
    <w:qFormat/>
    <w:uiPriority w:val="0"/>
    <w:pPr>
      <w:widowControl/>
      <w:pBdr>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3">
    <w:name w:val="xl101"/>
    <w:basedOn w:val="1"/>
    <w:qFormat/>
    <w:uiPriority w:val="0"/>
    <w:pPr>
      <w:widowControl/>
      <w:pBdr>
        <w:top w:val="single" w:color="auto" w:sz="4" w:space="0"/>
        <w:lef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4">
    <w:name w:val="xl102"/>
    <w:basedOn w:val="1"/>
    <w:qFormat/>
    <w:uiPriority w:val="0"/>
    <w:pPr>
      <w:widowControl/>
      <w:pBdr>
        <w:top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5">
    <w:name w:val="xl103"/>
    <w:basedOn w:val="1"/>
    <w:qFormat/>
    <w:uiPriority w:val="0"/>
    <w:pPr>
      <w:widowControl/>
      <w:pBdr>
        <w:lef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6">
    <w:name w:val="xl104"/>
    <w:basedOn w:val="1"/>
    <w:uiPriority w:val="0"/>
    <w:pPr>
      <w:widowControl/>
      <w:pBdr>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7">
    <w:name w:val="xl105"/>
    <w:basedOn w:val="1"/>
    <w:qFormat/>
    <w:uiPriority w:val="0"/>
    <w:pPr>
      <w:widowControl/>
      <w:pBdr>
        <w:left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8">
    <w:name w:val="xl106"/>
    <w:basedOn w:val="1"/>
    <w:qFormat/>
    <w:uiPriority w:val="0"/>
    <w:pPr>
      <w:widowControl/>
      <w:pBdr>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59">
    <w:name w:val="xl107"/>
    <w:basedOn w:val="1"/>
    <w:uiPriority w:val="0"/>
    <w:pPr>
      <w:widowControl/>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60">
    <w:name w:val="xl108"/>
    <w:basedOn w:val="1"/>
    <w:qFormat/>
    <w:uiPriority w:val="0"/>
    <w:pPr>
      <w:widowControl/>
      <w:pBdr>
        <w:top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61">
    <w:name w:val="xl109"/>
    <w:basedOn w:val="1"/>
    <w:qFormat/>
    <w:uiPriority w:val="0"/>
    <w:pPr>
      <w:widowControl/>
      <w:pBdr>
        <w:left w:val="single" w:color="auto" w:sz="4" w:space="0"/>
        <w:bottom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62">
    <w:name w:val="xl110"/>
    <w:basedOn w:val="1"/>
    <w:qFormat/>
    <w:uiPriority w:val="0"/>
    <w:pPr>
      <w:widowControl/>
      <w:pBdr>
        <w:bottom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63">
    <w:name w:val="xl111"/>
    <w:basedOn w:val="1"/>
    <w:qFormat/>
    <w:uiPriority w:val="0"/>
    <w:pPr>
      <w:widowControl/>
      <w:pBdr>
        <w:bottom w:val="single" w:color="auto" w:sz="4" w:space="0"/>
        <w:right w:val="single" w:color="auto" w:sz="4" w:space="0"/>
      </w:pBdr>
      <w:shd w:val="clear" w:color="000000" w:fill="FFFFFF"/>
      <w:autoSpaceDE/>
      <w:autoSpaceDN/>
      <w:spacing w:before="100" w:beforeAutospacing="1" w:after="100" w:afterAutospacing="1"/>
      <w:jc w:val="center"/>
    </w:pPr>
    <w:rPr>
      <w:rFonts w:ascii="宋体" w:hAnsi="宋体" w:eastAsia="宋体" w:cs="宋体"/>
      <w:sz w:val="24"/>
      <w:szCs w:val="24"/>
    </w:rPr>
  </w:style>
  <w:style w:type="paragraph" w:customStyle="1" w:styleId="64">
    <w:name w:val="xl112"/>
    <w:basedOn w:val="1"/>
    <w:qFormat/>
    <w:uiPriority w:val="0"/>
    <w:pPr>
      <w:widowControl/>
      <w:pBdr>
        <w:top w:val="single" w:color="auto" w:sz="4" w:space="0"/>
        <w:left w:val="single" w:color="auto" w:sz="4" w:space="0"/>
        <w:right w:val="single" w:color="auto" w:sz="4" w:space="0"/>
      </w:pBdr>
      <w:autoSpaceDE/>
      <w:autoSpaceDN/>
      <w:spacing w:before="100" w:beforeAutospacing="1" w:after="100" w:afterAutospacing="1"/>
      <w:jc w:val="center"/>
    </w:pPr>
    <w:rPr>
      <w:rFonts w:ascii="宋体" w:hAnsi="宋体" w:eastAsia="宋体" w:cs="宋体"/>
      <w:sz w:val="20"/>
      <w:szCs w:val="20"/>
    </w:rPr>
  </w:style>
  <w:style w:type="paragraph" w:customStyle="1" w:styleId="65">
    <w:name w:val="xl113"/>
    <w:basedOn w:val="1"/>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20"/>
      <w:szCs w:val="20"/>
    </w:rPr>
  </w:style>
  <w:style w:type="paragraph" w:customStyle="1" w:styleId="66">
    <w:name w:val="xl114"/>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20"/>
      <w:szCs w:val="20"/>
    </w:rPr>
  </w:style>
  <w:style w:type="paragraph" w:customStyle="1" w:styleId="67">
    <w:name w:val="xl115"/>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rPr>
  </w:style>
  <w:style w:type="paragraph" w:customStyle="1" w:styleId="68">
    <w:name w:val="xl116"/>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宋体" w:hAnsi="宋体" w:eastAsia="宋体" w:cs="宋体"/>
      <w:sz w:val="20"/>
      <w:szCs w:val="20"/>
    </w:rPr>
  </w:style>
  <w:style w:type="paragraph" w:customStyle="1" w:styleId="69">
    <w:name w:val="xl117"/>
    <w:basedOn w:val="1"/>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宋体" w:hAnsi="宋体" w:eastAsia="宋体" w:cs="宋体"/>
      <w:sz w:val="20"/>
      <w:szCs w:val="20"/>
    </w:rPr>
  </w:style>
  <w:style w:type="paragraph" w:customStyle="1" w:styleId="70">
    <w:name w:val="xl118"/>
    <w:basedOn w:val="1"/>
    <w:qFormat/>
    <w:uiPriority w:val="0"/>
    <w:pPr>
      <w:widowControl/>
      <w:pBdr>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20"/>
      <w:szCs w:val="20"/>
    </w:rPr>
  </w:style>
  <w:style w:type="paragraph" w:customStyle="1" w:styleId="71">
    <w:name w:val="表内容"/>
    <w:basedOn w:val="1"/>
    <w:qFormat/>
    <w:uiPriority w:val="0"/>
    <w:pPr>
      <w:adjustRightInd w:val="0"/>
      <w:spacing w:line="310" w:lineRule="atLeast"/>
      <w:jc w:val="center"/>
    </w:pPr>
    <w:rPr>
      <w:rFonts w:ascii="宋体"/>
      <w:sz w:val="18"/>
      <w:szCs w:val="20"/>
    </w:rPr>
  </w:style>
  <w:style w:type="paragraph" w:customStyle="1" w:styleId="72">
    <w:name w:val="font5"/>
    <w:basedOn w:val="1"/>
    <w:uiPriority w:val="0"/>
    <w:pPr>
      <w:widowControl/>
      <w:autoSpaceDE/>
      <w:autoSpaceDN/>
      <w:spacing w:before="100" w:beforeAutospacing="1" w:after="100" w:afterAutospacing="1"/>
    </w:pPr>
    <w:rPr>
      <w:rFonts w:ascii="宋体" w:hAnsi="宋体" w:eastAsia="宋体" w:cs="宋体"/>
      <w:sz w:val="18"/>
      <w:szCs w:val="18"/>
    </w:rPr>
  </w:style>
  <w:style w:type="character" w:customStyle="1" w:styleId="73">
    <w:name w:val="页眉 字符"/>
    <w:basedOn w:val="10"/>
    <w:link w:val="6"/>
    <w:qFormat/>
    <w:uiPriority w:val="0"/>
    <w:rPr>
      <w:rFonts w:ascii="仿宋" w:hAnsi="仿宋" w:eastAsia="仿宋" w:cs="仿宋"/>
      <w:sz w:val="18"/>
      <w:szCs w:val="18"/>
    </w:rPr>
  </w:style>
  <w:style w:type="character" w:customStyle="1" w:styleId="74">
    <w:name w:val="页脚 字符"/>
    <w:basedOn w:val="10"/>
    <w:link w:val="5"/>
    <w:uiPriority w:val="0"/>
    <w:rPr>
      <w:rFonts w:ascii="仿宋" w:hAnsi="仿宋" w:eastAsia="仿宋" w:cs="仿宋"/>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E9D21E-5D5A-4489-992C-CE901AE40AFE}">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2290</Words>
  <Characters>13058</Characters>
  <Lines>108</Lines>
  <Paragraphs>30</Paragraphs>
  <TotalTime>4</TotalTime>
  <ScaleCrop>false</ScaleCrop>
  <LinksUpToDate>false</LinksUpToDate>
  <CharactersWithSpaces>15318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2021-04-14T14:51:00Z</dcterms:created>
  <dc:creator>cyp20</dc:creator>
  <cp:lastModifiedBy>石春林</cp:lastModifiedBy>
  <dcterms:modified xsi:type="dcterms:W3CDTF">2021-08-24T12:20:22Z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2021-04-13T00:00:00Z</vt:filetime>
  </property>
  <property fmtid="{D5CDD505-2E9C-101B-9397-08002B2CF9AE}" pid="3" name="Creator">
    <vt:lpwstr>Adobe Acrobat Pro DC 19.21.20061</vt:lpwstr>
  </property>
  <property fmtid="{D5CDD505-2E9C-101B-9397-08002B2CF9AE}" pid="4" name="LastSaved">
    <vt:filetime>2021-04-14T00:00:00Z</vt:filetime>
  </property>
  <property fmtid="{D5CDD505-2E9C-101B-9397-08002B2CF9AE}" pid="5" name="KSOProductBuildVer">
    <vt:lpwstr>2052-11.1.0.10700</vt:lpwstr>
  </property>
  <property fmtid="{D5CDD505-2E9C-101B-9397-08002B2CF9AE}" pid="6" name="ICV">
    <vt:lpwstr>980e83e30c6049f2b01c6ad48c593a0b</vt:lpwstr>
  </property>
</Properties>
</file>