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480" w:lineRule="auto"/>
        <w:jc w:val="center"/>
        <w:rPr>
          <w:rFonts w:hint="eastAsia" w:ascii="黑体" w:hAnsi="宋体" w:eastAsia="黑体"/>
          <w:color w:val="000000" w:themeColor="text1"/>
          <w:sz w:val="44"/>
          <w:szCs w:val="44"/>
          <w14:textFill>
            <w14:solidFill>
              <w14:schemeClr w14:val="tx1"/>
            </w14:solidFill>
          </w14:textFill>
        </w:rPr>
      </w:pPr>
      <w:bookmarkStart w:id="0" w:name="To2"/>
      <w:bookmarkStart w:id="1" w:name="_Toc491917002"/>
    </w:p>
    <w:p>
      <w:pPr>
        <w:snapToGrid w:val="0"/>
        <w:spacing w:line="480" w:lineRule="auto"/>
        <w:jc w:val="center"/>
        <w:rPr>
          <w:rFonts w:hint="eastAsia" w:ascii="黑体" w:hAnsi="宋体" w:eastAsia="黑体"/>
          <w:color w:val="000000" w:themeColor="text1"/>
          <w:sz w:val="44"/>
          <w:szCs w:val="44"/>
          <w14:textFill>
            <w14:solidFill>
              <w14:schemeClr w14:val="tx1"/>
            </w14:solidFill>
          </w14:textFill>
        </w:rPr>
      </w:pPr>
    </w:p>
    <w:p>
      <w:pPr>
        <w:snapToGrid w:val="0"/>
        <w:spacing w:line="480" w:lineRule="auto"/>
        <w:jc w:val="center"/>
        <w:rPr>
          <w:rFonts w:ascii="黑体" w:hAnsi="宋体" w:eastAsia="黑体"/>
          <w:color w:val="000000" w:themeColor="text1"/>
          <w:sz w:val="44"/>
          <w:szCs w:val="44"/>
          <w14:textFill>
            <w14:solidFill>
              <w14:schemeClr w14:val="tx1"/>
            </w14:solidFill>
          </w14:textFill>
        </w:rPr>
      </w:pPr>
      <w:r>
        <w:rPr>
          <w:rFonts w:hint="eastAsia" w:ascii="黑体" w:hAnsi="宋体" w:eastAsia="黑体"/>
          <w:color w:val="000000" w:themeColor="text1"/>
          <w:sz w:val="44"/>
          <w:szCs w:val="44"/>
          <w14:textFill>
            <w14:solidFill>
              <w14:schemeClr w14:val="tx1"/>
            </w14:solidFill>
          </w14:textFill>
        </w:rPr>
        <w:t>五年制高等职业教育</w:t>
      </w:r>
    </w:p>
    <w:p>
      <w:pPr>
        <w:snapToGrid w:val="0"/>
        <w:spacing w:line="480" w:lineRule="auto"/>
        <w:jc w:val="center"/>
        <w:rPr>
          <w:rFonts w:hint="eastAsia" w:ascii="宋体" w:hAnsi="宋体" w:cs="宋体"/>
          <w:b/>
          <w:bCs/>
          <w:sz w:val="48"/>
          <w:szCs w:val="48"/>
        </w:rPr>
      </w:pPr>
      <w:r>
        <w:rPr>
          <w:rFonts w:hint="eastAsia" w:ascii="宋体" w:hAnsi="宋体" w:cs="宋体"/>
          <w:b/>
          <w:bCs/>
          <w:sz w:val="48"/>
          <w:szCs w:val="48"/>
        </w:rPr>
        <w:t>20</w:t>
      </w:r>
      <w:r>
        <w:rPr>
          <w:rFonts w:hint="eastAsia" w:ascii="宋体" w:hAnsi="宋体" w:cs="宋体"/>
          <w:b/>
          <w:bCs/>
          <w:sz w:val="48"/>
          <w:szCs w:val="48"/>
          <w:lang w:val="en-US" w:eastAsia="zh-CN"/>
        </w:rPr>
        <w:t>21</w:t>
      </w:r>
      <w:r>
        <w:rPr>
          <w:rFonts w:hint="eastAsia" w:ascii="宋体" w:hAnsi="宋体" w:cs="宋体"/>
          <w:b/>
          <w:bCs/>
          <w:sz w:val="48"/>
          <w:szCs w:val="48"/>
        </w:rPr>
        <w:t>级艺术设计专业</w:t>
      </w:r>
    </w:p>
    <w:p>
      <w:pPr>
        <w:snapToGrid w:val="0"/>
        <w:spacing w:line="480" w:lineRule="auto"/>
        <w:jc w:val="center"/>
        <w:rPr>
          <w:rFonts w:hint="eastAsia" w:ascii="宋体" w:hAnsi="宋体" w:cs="宋体"/>
          <w:b/>
          <w:bCs/>
          <w:sz w:val="48"/>
          <w:szCs w:val="48"/>
        </w:rPr>
      </w:pPr>
      <w:r>
        <w:rPr>
          <w:rFonts w:hint="eastAsia" w:ascii="宋体" w:hAnsi="宋体" w:cs="宋体"/>
          <w:b/>
          <w:bCs/>
          <w:sz w:val="48"/>
          <w:szCs w:val="48"/>
        </w:rPr>
        <w:t>实施性人才培养方案</w:t>
      </w:r>
    </w:p>
    <w:p>
      <w:pPr>
        <w:snapToGrid w:val="0"/>
        <w:spacing w:line="360" w:lineRule="auto"/>
        <w:jc w:val="center"/>
        <w:rPr>
          <w:rFonts w:ascii="黑体" w:eastAsia="黑体"/>
          <w:color w:val="000000" w:themeColor="text1"/>
          <w:sz w:val="36"/>
          <w:szCs w:val="36"/>
          <w14:textFill>
            <w14:solidFill>
              <w14:schemeClr w14:val="tx1"/>
            </w14:solidFill>
          </w14:textFill>
        </w:rPr>
      </w:pPr>
    </w:p>
    <w:p>
      <w:pPr>
        <w:snapToGrid w:val="0"/>
        <w:spacing w:line="360" w:lineRule="auto"/>
        <w:jc w:val="center"/>
        <w:rPr>
          <w:rFonts w:ascii="黑体" w:eastAsia="黑体"/>
          <w:color w:val="000000" w:themeColor="text1"/>
          <w:sz w:val="36"/>
          <w:szCs w:val="36"/>
          <w14:textFill>
            <w14:solidFill>
              <w14:schemeClr w14:val="tx1"/>
            </w14:solidFill>
          </w14:textFill>
        </w:rPr>
      </w:pPr>
    </w:p>
    <w:p>
      <w:pPr>
        <w:snapToGrid w:val="0"/>
        <w:spacing w:line="360" w:lineRule="auto"/>
        <w:jc w:val="center"/>
        <w:rPr>
          <w:rFonts w:ascii="黑体" w:eastAsia="黑体"/>
          <w:color w:val="000000" w:themeColor="text1"/>
          <w:sz w:val="36"/>
          <w:szCs w:val="36"/>
          <w14:textFill>
            <w14:solidFill>
              <w14:schemeClr w14:val="tx1"/>
            </w14:solidFill>
          </w14:textFill>
        </w:rPr>
      </w:pPr>
    </w:p>
    <w:p>
      <w:pPr>
        <w:snapToGrid w:val="0"/>
        <w:spacing w:line="360" w:lineRule="auto"/>
        <w:jc w:val="center"/>
        <w:rPr>
          <w:rFonts w:ascii="黑体" w:eastAsia="黑体"/>
          <w:color w:val="000000" w:themeColor="text1"/>
          <w:sz w:val="36"/>
          <w:szCs w:val="36"/>
          <w14:textFill>
            <w14:solidFill>
              <w14:schemeClr w14:val="tx1"/>
            </w14:solidFill>
          </w14:textFill>
        </w:rPr>
      </w:pPr>
    </w:p>
    <w:p>
      <w:pPr>
        <w:snapToGrid w:val="0"/>
        <w:spacing w:line="360" w:lineRule="auto"/>
        <w:jc w:val="center"/>
        <w:rPr>
          <w:rFonts w:ascii="黑体" w:eastAsia="黑体"/>
          <w:color w:val="000000" w:themeColor="text1"/>
          <w:sz w:val="36"/>
          <w:szCs w:val="36"/>
          <w14:textFill>
            <w14:solidFill>
              <w14:schemeClr w14:val="tx1"/>
            </w14:solidFill>
          </w14:textFill>
        </w:rPr>
      </w:pPr>
    </w:p>
    <w:p>
      <w:pPr>
        <w:snapToGrid w:val="0"/>
        <w:spacing w:line="360" w:lineRule="auto"/>
        <w:jc w:val="center"/>
        <w:rPr>
          <w:rFonts w:ascii="黑体" w:eastAsia="黑体"/>
          <w:color w:val="000000" w:themeColor="text1"/>
          <w:sz w:val="36"/>
          <w:szCs w:val="36"/>
          <w14:textFill>
            <w14:solidFill>
              <w14:schemeClr w14:val="tx1"/>
            </w14:solidFill>
          </w14:textFill>
        </w:rPr>
      </w:pPr>
    </w:p>
    <w:p>
      <w:pPr>
        <w:snapToGrid w:val="0"/>
        <w:spacing w:line="360" w:lineRule="auto"/>
        <w:jc w:val="center"/>
        <w:rPr>
          <w:rFonts w:ascii="黑体" w:eastAsia="黑体"/>
          <w:color w:val="000000" w:themeColor="text1"/>
          <w:sz w:val="36"/>
          <w:szCs w:val="36"/>
          <w14:textFill>
            <w14:solidFill>
              <w14:schemeClr w14:val="tx1"/>
            </w14:solidFill>
          </w14:textFill>
        </w:rPr>
      </w:pPr>
    </w:p>
    <w:p>
      <w:pPr>
        <w:snapToGrid w:val="0"/>
        <w:spacing w:line="360" w:lineRule="auto"/>
        <w:jc w:val="center"/>
        <w:rPr>
          <w:rFonts w:ascii="黑体" w:eastAsia="黑体"/>
          <w:color w:val="000000" w:themeColor="text1"/>
          <w:sz w:val="36"/>
          <w:szCs w:val="36"/>
          <w14:textFill>
            <w14:solidFill>
              <w14:schemeClr w14:val="tx1"/>
            </w14:solidFill>
          </w14:textFill>
        </w:rPr>
      </w:pPr>
    </w:p>
    <w:p>
      <w:pPr>
        <w:snapToGrid w:val="0"/>
        <w:spacing w:line="360" w:lineRule="auto"/>
        <w:rPr>
          <w:rFonts w:ascii="黑体" w:eastAsia="黑体"/>
          <w:color w:val="000000" w:themeColor="text1"/>
          <w:sz w:val="36"/>
          <w:szCs w:val="36"/>
          <w14:textFill>
            <w14:solidFill>
              <w14:schemeClr w14:val="tx1"/>
            </w14:solidFill>
          </w14:textFill>
        </w:rPr>
      </w:pPr>
    </w:p>
    <w:p>
      <w:pPr>
        <w:snapToGrid w:val="0"/>
        <w:spacing w:line="360" w:lineRule="auto"/>
        <w:jc w:val="center"/>
        <w:rPr>
          <w:rFonts w:hint="eastAsia" w:ascii="黑体" w:eastAsia="黑体"/>
          <w:sz w:val="30"/>
          <w:szCs w:val="30"/>
        </w:rPr>
      </w:pPr>
      <w:r>
        <w:rPr>
          <w:rFonts w:hint="eastAsia" w:ascii="黑体" w:eastAsia="黑体"/>
          <w:sz w:val="30"/>
          <w:szCs w:val="30"/>
        </w:rPr>
        <w:t>江苏联合职业技术学院常州艺术分院</w:t>
      </w:r>
    </w:p>
    <w:p>
      <w:pPr>
        <w:spacing w:line="360" w:lineRule="auto"/>
        <w:jc w:val="center"/>
        <w:rPr>
          <w:rFonts w:hint="eastAsia" w:ascii="仿宋" w:hAnsi="仿宋" w:eastAsia="仿宋" w:cs="仿宋"/>
          <w:b/>
          <w:bCs/>
          <w:color w:val="000000" w:themeColor="text1"/>
          <w:sz w:val="32"/>
          <w:szCs w:val="32"/>
          <w14:textFill>
            <w14:solidFill>
              <w14:schemeClr w14:val="tx1"/>
            </w14:solidFill>
          </w14:textFill>
        </w:rPr>
      </w:pPr>
      <w:r>
        <w:rPr>
          <w:rFonts w:hint="eastAsia" w:ascii="黑体" w:eastAsia="黑体"/>
          <w:sz w:val="30"/>
          <w:szCs w:val="30"/>
        </w:rPr>
        <w:t>二○</w:t>
      </w:r>
      <w:r>
        <w:rPr>
          <w:rFonts w:hint="eastAsia" w:ascii="黑体" w:eastAsia="黑体"/>
          <w:sz w:val="30"/>
          <w:szCs w:val="30"/>
          <w:lang w:val="en-US" w:eastAsia="zh-CN"/>
        </w:rPr>
        <w:t>二一</w:t>
      </w:r>
      <w:r>
        <w:rPr>
          <w:rFonts w:hint="eastAsia" w:ascii="黑体" w:eastAsia="黑体"/>
          <w:sz w:val="30"/>
          <w:szCs w:val="30"/>
        </w:rPr>
        <w:t>年</w:t>
      </w:r>
      <w:r>
        <w:rPr>
          <w:rFonts w:hint="eastAsia" w:ascii="黑体" w:eastAsia="黑体"/>
          <w:sz w:val="30"/>
          <w:szCs w:val="30"/>
          <w:lang w:val="en-US" w:eastAsia="zh-CN"/>
        </w:rPr>
        <w:t>三</w:t>
      </w:r>
      <w:r>
        <w:rPr>
          <w:rFonts w:hint="eastAsia" w:ascii="黑体" w:eastAsia="黑体"/>
          <w:sz w:val="30"/>
          <w:szCs w:val="30"/>
        </w:rPr>
        <w:t>月</w:t>
      </w:r>
    </w:p>
    <w:p>
      <w:pPr>
        <w:spacing w:line="360" w:lineRule="auto"/>
        <w:jc w:val="both"/>
        <w:rPr>
          <w:rFonts w:hint="eastAsia" w:ascii="仿宋" w:hAnsi="仿宋" w:eastAsia="仿宋" w:cs="仿宋"/>
          <w:b/>
          <w:bCs/>
          <w:color w:val="000000" w:themeColor="text1"/>
          <w:sz w:val="32"/>
          <w:szCs w:val="32"/>
          <w14:textFill>
            <w14:solidFill>
              <w14:schemeClr w14:val="tx1"/>
            </w14:solidFill>
          </w14:textFill>
        </w:rPr>
      </w:pPr>
    </w:p>
    <w:p>
      <w:pPr>
        <w:snapToGrid w:val="0"/>
        <w:jc w:val="center"/>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五年制高等职业教育</w:t>
      </w:r>
    </w:p>
    <w:p>
      <w:pPr>
        <w:snapToGrid w:val="0"/>
        <w:jc w:val="center"/>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2021级</w:t>
      </w:r>
      <w:r>
        <w:rPr>
          <w:rFonts w:hint="eastAsia" w:ascii="仿宋" w:hAnsi="仿宋" w:eastAsia="仿宋" w:cs="仿宋"/>
          <w:b/>
          <w:bCs/>
          <w:color w:val="000000" w:themeColor="text1"/>
          <w:sz w:val="32"/>
          <w:szCs w:val="32"/>
          <w14:textFill>
            <w14:solidFill>
              <w14:schemeClr w14:val="tx1"/>
            </w14:solidFill>
          </w14:textFill>
        </w:rPr>
        <w:t>艺术设计专业</w:t>
      </w:r>
      <w:r>
        <w:rPr>
          <w:rFonts w:hint="eastAsia" w:ascii="仿宋" w:hAnsi="仿宋" w:eastAsia="仿宋" w:cs="仿宋"/>
          <w:b/>
          <w:bCs/>
          <w:color w:val="000000" w:themeColor="text1"/>
          <w:sz w:val="32"/>
          <w:szCs w:val="32"/>
          <w:lang w:val="en-US" w:eastAsia="zh-CN"/>
          <w14:textFill>
            <w14:solidFill>
              <w14:schemeClr w14:val="tx1"/>
            </w14:solidFill>
          </w14:textFill>
        </w:rPr>
        <w:t>实施</w:t>
      </w:r>
      <w:r>
        <w:rPr>
          <w:rFonts w:hint="eastAsia" w:ascii="仿宋" w:hAnsi="仿宋" w:eastAsia="仿宋" w:cs="仿宋"/>
          <w:b/>
          <w:bCs/>
          <w:color w:val="000000" w:themeColor="text1"/>
          <w:sz w:val="32"/>
          <w:szCs w:val="32"/>
          <w14:textFill>
            <w14:solidFill>
              <w14:schemeClr w14:val="tx1"/>
            </w14:solidFill>
          </w14:textFill>
        </w:rPr>
        <w:t>性人才培养方案</w:t>
      </w:r>
      <w:bookmarkEnd w:id="0"/>
    </w:p>
    <w:p>
      <w:pPr>
        <w:snapToGrid w:val="0"/>
        <w:jc w:val="center"/>
        <w:rPr>
          <w:rFonts w:ascii="宋体" w:hAnsi="宋体" w:cs="宋体"/>
          <w:b/>
          <w:bCs/>
          <w:color w:val="000000" w:themeColor="text1"/>
          <w:sz w:val="30"/>
          <w:szCs w:val="30"/>
          <w14:textFill>
            <w14:solidFill>
              <w14:schemeClr w14:val="tx1"/>
            </w14:solidFill>
          </w14:textFill>
        </w:rPr>
      </w:pPr>
    </w:p>
    <w:p>
      <w:pPr>
        <w:snapToGrid w:val="0"/>
        <w:spacing w:line="380" w:lineRule="exact"/>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一、专业名称及代码</w:t>
      </w:r>
    </w:p>
    <w:p>
      <w:pPr>
        <w:snapToGrid w:val="0"/>
        <w:spacing w:line="380" w:lineRule="exact"/>
        <w:ind w:firstLine="840" w:firstLineChars="4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 xml:space="preserve">专业名称：艺术设计 </w:t>
      </w:r>
    </w:p>
    <w:p>
      <w:pPr>
        <w:snapToGrid w:val="0"/>
        <w:spacing w:line="380" w:lineRule="exact"/>
        <w:ind w:firstLine="840" w:firstLineChars="4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专业代码：</w:t>
      </w: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50101</w:t>
      </w:r>
    </w:p>
    <w:p>
      <w:pPr>
        <w:snapToGrid w:val="0"/>
        <w:spacing w:line="380" w:lineRule="exact"/>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二、入学要求</w:t>
      </w:r>
    </w:p>
    <w:p>
      <w:pPr>
        <w:snapToGrid w:val="0"/>
        <w:spacing w:line="380" w:lineRule="exact"/>
        <w:ind w:firstLine="840" w:firstLineChars="4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初中应届毕业生</w:t>
      </w:r>
    </w:p>
    <w:p>
      <w:pPr>
        <w:numPr>
          <w:ilvl w:val="0"/>
          <w:numId w:val="1"/>
        </w:numPr>
        <w:snapToGrid w:val="0"/>
        <w:spacing w:line="380" w:lineRule="exact"/>
        <w:ind w:firstLine="422" w:firstLineChars="20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修业年限</w:t>
      </w:r>
    </w:p>
    <w:p>
      <w:pPr>
        <w:snapToGrid w:val="0"/>
        <w:spacing w:line="420" w:lineRule="exact"/>
        <w:ind w:firstLine="840" w:firstLineChars="4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5年</w:t>
      </w:r>
    </w:p>
    <w:p>
      <w:pPr>
        <w:numPr>
          <w:ilvl w:val="0"/>
          <w:numId w:val="1"/>
        </w:numPr>
        <w:snapToGrid w:val="0"/>
        <w:spacing w:line="380" w:lineRule="exact"/>
        <w:ind w:firstLine="422" w:firstLineChars="20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职业面向</w:t>
      </w:r>
    </w:p>
    <w:tbl>
      <w:tblPr>
        <w:tblStyle w:val="11"/>
        <w:tblpPr w:leftFromText="180" w:rightFromText="180" w:vertAnchor="text" w:horzAnchor="page" w:tblpX="1252" w:tblpY="393"/>
        <w:tblOverlap w:val="never"/>
        <w:tblW w:w="984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 w:type="dxa"/>
          <w:bottom w:w="0" w:type="dxa"/>
          <w:right w:w="10" w:type="dxa"/>
        </w:tblCellMar>
      </w:tblPr>
      <w:tblGrid>
        <w:gridCol w:w="1629"/>
        <w:gridCol w:w="1311"/>
        <w:gridCol w:w="1175"/>
        <w:gridCol w:w="1661"/>
        <w:gridCol w:w="2023"/>
        <w:gridCol w:w="20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918" w:hRule="exact"/>
        </w:trPr>
        <w:tc>
          <w:tcPr>
            <w:tcW w:w="1629" w:type="dxa"/>
            <w:tcBorders>
              <w:tl2br w:val="nil"/>
              <w:tr2bl w:val="nil"/>
            </w:tcBorders>
            <w:shd w:val="clear" w:color="auto" w:fill="FFFFFF"/>
            <w:vAlign w:val="center"/>
          </w:tcPr>
          <w:p>
            <w:pPr>
              <w:spacing w:line="312"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所属专业大类(代码</w:t>
            </w:r>
            <w:r>
              <w:rPr>
                <w:rFonts w:hint="eastAsia" w:ascii="仿宋" w:hAnsi="仿宋" w:eastAsia="仿宋" w:cs="仿宋"/>
                <w:b/>
                <w:bCs/>
                <w:color w:val="000000" w:themeColor="text1"/>
                <w:spacing w:val="20"/>
                <w:kern w:val="0"/>
                <w:szCs w:val="21"/>
                <w:lang w:bidi="en-US"/>
                <w14:textFill>
                  <w14:solidFill>
                    <w14:schemeClr w14:val="tx1"/>
                  </w14:solidFill>
                </w14:textFill>
              </w:rPr>
              <w:t>）</w:t>
            </w:r>
          </w:p>
        </w:tc>
        <w:tc>
          <w:tcPr>
            <w:tcW w:w="1311" w:type="dxa"/>
            <w:tcBorders>
              <w:tl2br w:val="nil"/>
              <w:tr2bl w:val="nil"/>
            </w:tcBorders>
            <w:shd w:val="clear" w:color="auto" w:fill="FFFFFF"/>
            <w:vAlign w:val="center"/>
          </w:tcPr>
          <w:p>
            <w:pPr>
              <w:spacing w:line="312"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所属专业类(代码</w:t>
            </w:r>
            <w:r>
              <w:rPr>
                <w:rFonts w:hint="eastAsia" w:ascii="仿宋" w:hAnsi="仿宋" w:eastAsia="仿宋" w:cs="仿宋"/>
                <w:b/>
                <w:bCs/>
                <w:color w:val="000000" w:themeColor="text1"/>
                <w:spacing w:val="20"/>
                <w:kern w:val="0"/>
                <w:szCs w:val="21"/>
                <w:lang w:bidi="en-US"/>
                <w14:textFill>
                  <w14:solidFill>
                    <w14:schemeClr w14:val="tx1"/>
                  </w14:solidFill>
                </w14:textFill>
              </w:rPr>
              <w:t>）</w:t>
            </w:r>
          </w:p>
        </w:tc>
        <w:tc>
          <w:tcPr>
            <w:tcW w:w="1175" w:type="dxa"/>
            <w:tcBorders>
              <w:tl2br w:val="nil"/>
              <w:tr2bl w:val="nil"/>
            </w:tcBorders>
            <w:shd w:val="clear" w:color="auto" w:fill="FFFFFF"/>
            <w:vAlign w:val="center"/>
          </w:tcPr>
          <w:p>
            <w:pPr>
              <w:spacing w:line="312" w:lineRule="exact"/>
              <w:jc w:val="center"/>
              <w:rPr>
                <w:rFonts w:ascii="仿宋" w:hAnsi="仿宋" w:eastAsia="仿宋" w:cs="仿宋"/>
                <w:b/>
                <w:bCs/>
                <w:color w:val="000000" w:themeColor="text1"/>
                <w:spacing w:val="20"/>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对应行业</w:t>
            </w:r>
          </w:p>
          <w:p>
            <w:pPr>
              <w:spacing w:line="312"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(代码</w:t>
            </w:r>
            <w:r>
              <w:rPr>
                <w:rFonts w:hint="eastAsia" w:ascii="仿宋" w:hAnsi="仿宋" w:eastAsia="仿宋" w:cs="仿宋"/>
                <w:b/>
                <w:bCs/>
                <w:color w:val="000000" w:themeColor="text1"/>
                <w:spacing w:val="20"/>
                <w:kern w:val="0"/>
                <w:szCs w:val="21"/>
                <w:lang w:bidi="en-US"/>
                <w14:textFill>
                  <w14:solidFill>
                    <w14:schemeClr w14:val="tx1"/>
                  </w14:solidFill>
                </w14:textFill>
              </w:rPr>
              <w:t>）</w:t>
            </w:r>
          </w:p>
        </w:tc>
        <w:tc>
          <w:tcPr>
            <w:tcW w:w="1661" w:type="dxa"/>
            <w:tcBorders>
              <w:tl2br w:val="nil"/>
              <w:tr2bl w:val="nil"/>
            </w:tcBorders>
            <w:shd w:val="clear" w:color="auto" w:fill="FFFFFF"/>
            <w:vAlign w:val="center"/>
          </w:tcPr>
          <w:p>
            <w:pPr>
              <w:spacing w:line="317"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主要职业类别 (代码</w:t>
            </w:r>
            <w:r>
              <w:rPr>
                <w:rFonts w:hint="eastAsia" w:ascii="仿宋" w:hAnsi="仿宋" w:eastAsia="仿宋" w:cs="仿宋"/>
                <w:b/>
                <w:bCs/>
                <w:color w:val="000000" w:themeColor="text1"/>
                <w:spacing w:val="20"/>
                <w:kern w:val="0"/>
                <w:szCs w:val="21"/>
                <w:lang w:bidi="en-US"/>
                <w14:textFill>
                  <w14:solidFill>
                    <w14:schemeClr w14:val="tx1"/>
                  </w14:solidFill>
                </w14:textFill>
              </w:rPr>
              <w:t>）</w:t>
            </w:r>
          </w:p>
        </w:tc>
        <w:tc>
          <w:tcPr>
            <w:tcW w:w="2023" w:type="dxa"/>
            <w:tcBorders>
              <w:tl2br w:val="nil"/>
              <w:tr2bl w:val="nil"/>
            </w:tcBorders>
            <w:shd w:val="clear" w:color="auto" w:fill="FFFFFF"/>
            <w:vAlign w:val="center"/>
          </w:tcPr>
          <w:p>
            <w:pPr>
              <w:spacing w:line="312" w:lineRule="exact"/>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主要岗位群或技术领域</w:t>
            </w:r>
          </w:p>
        </w:tc>
        <w:tc>
          <w:tcPr>
            <w:tcW w:w="2045" w:type="dxa"/>
            <w:tcBorders>
              <w:tl2br w:val="nil"/>
              <w:tr2bl w:val="nil"/>
            </w:tcBorders>
            <w:shd w:val="clear" w:color="auto" w:fill="FFFFFF"/>
            <w:vAlign w:val="center"/>
          </w:tcPr>
          <w:p>
            <w:pPr>
              <w:spacing w:line="312" w:lineRule="exact"/>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职业资格或职业技能等级证书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1381" w:hRule="exact"/>
        </w:trPr>
        <w:tc>
          <w:tcPr>
            <w:tcW w:w="1629" w:type="dxa"/>
            <w:tcBorders>
              <w:tl2br w:val="nil"/>
              <w:tr2bl w:val="nil"/>
            </w:tcBorders>
            <w:shd w:val="clear" w:color="auto" w:fill="FFFFFF"/>
            <w:vAlign w:val="center"/>
          </w:tcPr>
          <w:p>
            <w:pPr>
              <w:spacing w:line="21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文化艺术大类(</w:t>
            </w: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5)</w:t>
            </w:r>
          </w:p>
        </w:tc>
        <w:tc>
          <w:tcPr>
            <w:tcW w:w="1311" w:type="dxa"/>
            <w:tcBorders>
              <w:tl2br w:val="nil"/>
              <w:tr2bl w:val="nil"/>
            </w:tcBorders>
            <w:shd w:val="clear" w:color="auto" w:fill="FFFFFF"/>
            <w:vAlign w:val="center"/>
          </w:tcPr>
          <w:p>
            <w:pPr>
              <w:spacing w:line="312"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艺术设计类(</w:t>
            </w: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501)</w:t>
            </w:r>
          </w:p>
        </w:tc>
        <w:tc>
          <w:tcPr>
            <w:tcW w:w="1175" w:type="dxa"/>
            <w:tcBorders>
              <w:tl2br w:val="nil"/>
              <w:tr2bl w:val="nil"/>
            </w:tcBorders>
            <w:shd w:val="clear" w:color="auto" w:fill="FFFFFF"/>
            <w:vAlign w:val="center"/>
          </w:tcPr>
          <w:p>
            <w:pPr>
              <w:spacing w:line="302"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其他文化艺术业（8890）</w:t>
            </w:r>
          </w:p>
        </w:tc>
        <w:tc>
          <w:tcPr>
            <w:tcW w:w="1661" w:type="dxa"/>
            <w:tcBorders>
              <w:tl2br w:val="nil"/>
              <w:tr2bl w:val="nil"/>
            </w:tcBorders>
            <w:shd w:val="clear" w:color="auto" w:fill="FFFFFF"/>
            <w:vAlign w:val="center"/>
          </w:tcPr>
          <w:p>
            <w:pPr>
              <w:spacing w:line="21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美术专业人员（2-56）</w:t>
            </w:r>
          </w:p>
        </w:tc>
        <w:tc>
          <w:tcPr>
            <w:tcW w:w="2023" w:type="dxa"/>
            <w:tcBorders>
              <w:tl2br w:val="nil"/>
              <w:tr2bl w:val="nil"/>
            </w:tcBorders>
            <w:shd w:val="clear" w:color="auto" w:fill="FFFFFF"/>
            <w:vAlign w:val="center"/>
          </w:tcPr>
          <w:p>
            <w:pPr>
              <w:spacing w:line="307"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装饰美工设计制作；</w:t>
            </w:r>
          </w:p>
          <w:p>
            <w:pPr>
              <w:spacing w:line="307"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图形处理设计制作；</w:t>
            </w:r>
          </w:p>
          <w:p>
            <w:pPr>
              <w:spacing w:line="307"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文创设计制作</w:t>
            </w:r>
          </w:p>
        </w:tc>
        <w:tc>
          <w:tcPr>
            <w:tcW w:w="2045" w:type="dxa"/>
            <w:tcBorders>
              <w:tl2br w:val="nil"/>
              <w:tr2bl w:val="nil"/>
            </w:tcBorders>
            <w:shd w:val="clear" w:color="auto" w:fill="FFFFFF"/>
            <w:vAlign w:val="center"/>
          </w:tcPr>
          <w:p>
            <w:pPr>
              <w:spacing w:line="2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无</w:t>
            </w:r>
          </w:p>
        </w:tc>
      </w:tr>
    </w:tbl>
    <w:p>
      <w:pPr>
        <w:snapToGrid w:val="0"/>
        <w:spacing w:line="380" w:lineRule="exact"/>
        <w:rPr>
          <w:rFonts w:asciiTheme="majorEastAsia" w:hAnsiTheme="majorEastAsia" w:eastAsiaTheme="majorEastAsia" w:cstheme="majorEastAsia"/>
          <w:b/>
          <w:bCs/>
          <w:color w:val="000000" w:themeColor="text1"/>
          <w:szCs w:val="21"/>
          <w14:textFill>
            <w14:solidFill>
              <w14:schemeClr w14:val="tx1"/>
            </w14:solidFill>
          </w14:textFill>
        </w:rPr>
      </w:pPr>
    </w:p>
    <w:p>
      <w:pPr>
        <w:numPr>
          <w:ilvl w:val="0"/>
          <w:numId w:val="1"/>
        </w:numPr>
        <w:snapToGrid w:val="0"/>
        <w:spacing w:line="340" w:lineRule="exact"/>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培养目标与培养规格</w:t>
      </w:r>
    </w:p>
    <w:p>
      <w:pPr>
        <w:snapToGrid w:val="0"/>
        <w:spacing w:line="340" w:lineRule="exact"/>
        <w:ind w:left="420" w:left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（一）培养目标</w:t>
      </w:r>
    </w:p>
    <w:p>
      <w:pPr>
        <w:snapToGrid w:val="0"/>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专业培养理想信念坚定，德、智、体、美、劳全面发展，具有一定的科学文化水平，良好的人文素养、职业道德和创新意识，精益求精的工匠精神，较强的就业能力和可持续发展的能力，掌握本专业知识和技术技能，面向广告设计、装饰设计、工艺美术设计等行业的美术专业人员职业群，能够从事装饰美工设计制作、图形处理设计制作、文创设计制作工作的高素质技术技能人才。</w:t>
      </w:r>
    </w:p>
    <w:p>
      <w:pPr>
        <w:numPr>
          <w:ilvl w:val="0"/>
          <w:numId w:val="2"/>
        </w:numPr>
        <w:snapToGrid w:val="0"/>
        <w:spacing w:line="340" w:lineRule="exact"/>
        <w:ind w:firstLine="422" w:firstLineChars="200"/>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培养规格</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本专业所培养的学生</w:t>
      </w:r>
      <w:r>
        <w:rPr>
          <w:rFonts w:hint="eastAsia" w:ascii="仿宋" w:hAnsi="仿宋" w:eastAsia="仿宋" w:cs="仿宋"/>
          <w:bCs/>
          <w:color w:val="000000" w:themeColor="text1"/>
          <w:kern w:val="0"/>
          <w:szCs w:val="21"/>
          <w14:textFill>
            <w14:solidFill>
              <w14:schemeClr w14:val="tx1"/>
            </w14:solidFill>
          </w14:textFill>
        </w:rPr>
        <w:t>应具备以下素质、知识、能力：</w:t>
      </w:r>
    </w:p>
    <w:p>
      <w:pPr>
        <w:widowControl/>
        <w:spacing w:line="340" w:lineRule="exact"/>
        <w:ind w:firstLine="422" w:firstLineChars="200"/>
        <w:jc w:val="left"/>
        <w:rPr>
          <w:rFonts w:ascii="仿宋" w:hAnsi="仿宋" w:eastAsia="仿宋" w:cs="仿宋"/>
          <w:b/>
          <w:color w:val="000000" w:themeColor="text1"/>
          <w:kern w:val="0"/>
          <w:szCs w:val="21"/>
          <w14:textFill>
            <w14:solidFill>
              <w14:schemeClr w14:val="tx1"/>
            </w14:solidFill>
          </w14:textFill>
        </w:rPr>
      </w:pPr>
      <w:r>
        <w:rPr>
          <w:rFonts w:hint="eastAsia" w:ascii="仿宋" w:hAnsi="仿宋" w:eastAsia="仿宋" w:cs="仿宋"/>
          <w:b/>
          <w:color w:val="000000" w:themeColor="text1"/>
          <w:kern w:val="0"/>
          <w:szCs w:val="21"/>
          <w14:textFill>
            <w14:solidFill>
              <w14:schemeClr w14:val="tx1"/>
            </w14:solidFill>
          </w14:textFill>
        </w:rPr>
        <w:t>1</w:t>
      </w: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b/>
          <w:color w:val="000000" w:themeColor="text1"/>
          <w:kern w:val="0"/>
          <w:szCs w:val="21"/>
          <w14:textFill>
            <w14:solidFill>
              <w14:schemeClr w14:val="tx1"/>
            </w14:solidFill>
          </w14:textFill>
        </w:rPr>
        <w:t>素质</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（1）坚定拥护中国共产党领导和我国社会主义制度，在习近平新时代中国特色社会主义思想指引下，践行社会主义核心价值观，具有深厚的爱国情感和中华民族自豪感；</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（2）崇尚宪法、遵法守纪、崇德向善、诚实守信、尊重生命、热爱劳动，履行道德准则和行为规范，具有社会责任感和社会参与意识；</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（3）具有质量意识、环保意识、安全意识、信息素养、工匠精神、创新思维；</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（4）勇于奋斗、乐观向上，具有自我管理能力、职业生涯规划的意识，有较强的集体意识和团队合作精神；</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（5）具有健康的体魄、心理和健全的人格，掌握</w:t>
      </w:r>
      <w:r>
        <w:rPr>
          <w:rFonts w:hint="eastAsia" w:ascii="仿宋" w:hAnsi="仿宋" w:eastAsia="仿宋" w:cs="仿宋"/>
          <w:color w:val="000000" w:themeColor="text1"/>
          <w:szCs w:val="21"/>
          <w:lang w:val="en-US" w:eastAsia="zh-CN"/>
          <w14:textFill>
            <w14:solidFill>
              <w14:schemeClr w14:val="tx1"/>
            </w14:solidFill>
          </w14:textFill>
        </w:rPr>
        <w:t>羽毛球</w:t>
      </w:r>
      <w:r>
        <w:rPr>
          <w:rFonts w:hint="eastAsia" w:ascii="仿宋" w:hAnsi="仿宋" w:eastAsia="仿宋" w:cs="仿宋"/>
          <w:color w:val="000000"/>
          <w:sz w:val="21"/>
          <w:szCs w:val="21"/>
        </w:rPr>
        <w:t>基本运动知识</w:t>
      </w:r>
      <w:r>
        <w:rPr>
          <w:rFonts w:hint="eastAsia" w:ascii="仿宋" w:hAnsi="仿宋" w:eastAsia="仿宋" w:cs="仿宋"/>
          <w:color w:val="000000" w:themeColor="text1"/>
          <w:szCs w:val="21"/>
          <w14:textFill>
            <w14:solidFill>
              <w14:schemeClr w14:val="tx1"/>
            </w14:solidFill>
          </w14:textFill>
        </w:rPr>
        <w:t>和</w:t>
      </w:r>
      <w:r>
        <w:rPr>
          <w:rFonts w:hint="eastAsia" w:ascii="仿宋" w:hAnsi="仿宋" w:eastAsia="仿宋" w:cs="仿宋"/>
          <w:color w:val="000000" w:themeColor="text1"/>
          <w:szCs w:val="21"/>
          <w:lang w:val="en-US" w:eastAsia="zh-CN"/>
          <w14:textFill>
            <w14:solidFill>
              <w14:schemeClr w14:val="tx1"/>
            </w14:solidFill>
          </w14:textFill>
        </w:rPr>
        <w:t>篮球</w:t>
      </w:r>
      <w:r>
        <w:rPr>
          <w:rFonts w:hint="eastAsia" w:ascii="仿宋" w:hAnsi="仿宋" w:eastAsia="仿宋" w:cs="仿宋"/>
          <w:color w:val="000000" w:themeColor="text1"/>
          <w:szCs w:val="21"/>
          <w14:textFill>
            <w14:solidFill>
              <w14:schemeClr w14:val="tx1"/>
            </w14:solidFill>
          </w14:textFill>
        </w:rPr>
        <w:t>运动技能，养成良好的健身与卫生习惯，以及良好的行为习惯；</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（6）具有一定的审美和人文素养，能够形成</w:t>
      </w:r>
      <w:r>
        <w:rPr>
          <w:rFonts w:hint="eastAsia" w:ascii="仿宋" w:hAnsi="仿宋" w:eastAsia="仿宋" w:cs="仿宋"/>
          <w:color w:val="000000" w:themeColor="text1"/>
          <w:szCs w:val="21"/>
          <w:lang w:eastAsia="zh-CN"/>
          <w14:textFill>
            <w14:solidFill>
              <w14:schemeClr w14:val="tx1"/>
            </w14:solidFill>
          </w14:textFill>
        </w:rPr>
        <w:t>歌曲</w:t>
      </w:r>
      <w:r>
        <w:rPr>
          <w:rFonts w:hint="eastAsia" w:ascii="仿宋" w:hAnsi="仿宋" w:eastAsia="仿宋" w:cs="仿宋"/>
          <w:color w:val="000000" w:themeColor="text1"/>
          <w:szCs w:val="21"/>
          <w:highlight w:val="none"/>
          <w:lang w:eastAsia="zh-CN"/>
          <w14:textFill>
            <w14:solidFill>
              <w14:schemeClr w14:val="tx1"/>
            </w14:solidFill>
          </w14:textFill>
        </w:rPr>
        <w:t>演唱、表演</w:t>
      </w:r>
      <w:r>
        <w:rPr>
          <w:rFonts w:hint="eastAsia" w:ascii="仿宋" w:hAnsi="仿宋" w:eastAsia="仿宋" w:cs="仿宋"/>
          <w:color w:val="000000" w:themeColor="text1"/>
          <w:szCs w:val="21"/>
          <w:lang w:val="en-US" w:eastAsia="zh-CN"/>
          <w14:textFill>
            <w14:solidFill>
              <w14:schemeClr w14:val="tx1"/>
            </w14:solidFill>
          </w14:textFill>
        </w:rPr>
        <w:t>等</w:t>
      </w:r>
      <w:r>
        <w:rPr>
          <w:rFonts w:hint="eastAsia" w:ascii="仿宋" w:hAnsi="仿宋" w:eastAsia="仿宋" w:cs="仿宋"/>
          <w:color w:val="000000" w:themeColor="text1"/>
          <w:szCs w:val="21"/>
          <w14:textFill>
            <w14:solidFill>
              <w14:schemeClr w14:val="tx1"/>
            </w14:solidFill>
          </w14:textFill>
        </w:rPr>
        <w:t>艺术特长或爱好。</w:t>
      </w:r>
    </w:p>
    <w:p>
      <w:pPr>
        <w:spacing w:line="340" w:lineRule="exact"/>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kern w:val="0"/>
          <w:szCs w:val="21"/>
          <w14:textFill>
            <w14:solidFill>
              <w14:schemeClr w14:val="tx1"/>
            </w14:solidFill>
          </w14:textFill>
        </w:rPr>
        <w:t>2</w:t>
      </w:r>
      <w:r>
        <w:rPr>
          <w:rFonts w:hint="eastAsia" w:ascii="仿宋" w:hAnsi="仿宋" w:eastAsia="仿宋" w:cs="仿宋"/>
          <w:b/>
          <w:color w:val="000000" w:themeColor="text1"/>
          <w:szCs w:val="21"/>
          <w14:textFill>
            <w14:solidFill>
              <w14:schemeClr w14:val="tx1"/>
            </w14:solidFill>
          </w14:textFill>
        </w:rPr>
        <w:t>.知识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（1）掌握必备的思想政治理论、科学文化基础知识和中华优秀传统文化知识；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（2）熟悉与本专业相关的法律法规以及环境保护、安全消防等知识；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（3）掌握艺术设计基础造型、色彩理论及构成等基本知识；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（4）掌握艺术设计软件的基础理论知识；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（5）掌握艺术设计</w:t>
      </w:r>
      <w:r>
        <w:rPr>
          <w:rFonts w:hint="eastAsia" w:ascii="仿宋" w:hAnsi="仿宋" w:eastAsia="仿宋" w:cs="仿宋"/>
          <w:color w:val="000000" w:themeColor="text1"/>
          <w:szCs w:val="21"/>
          <w:lang w:val="en-US" w:eastAsia="zh-CN"/>
          <w14:textFill>
            <w14:solidFill>
              <w14:schemeClr w14:val="tx1"/>
            </w14:solidFill>
          </w14:textFill>
        </w:rPr>
        <w:t>创意思维的</w:t>
      </w:r>
      <w:r>
        <w:rPr>
          <w:rFonts w:hint="eastAsia" w:ascii="仿宋" w:hAnsi="仿宋" w:eastAsia="仿宋" w:cs="仿宋"/>
          <w:color w:val="000000" w:themeColor="text1"/>
          <w:szCs w:val="21"/>
          <w14:textFill>
            <w14:solidFill>
              <w14:schemeClr w14:val="tx1"/>
            </w14:solidFill>
          </w14:textFill>
        </w:rPr>
        <w:t>基础理论知识</w:t>
      </w:r>
      <w:r>
        <w:rPr>
          <w:rFonts w:hint="eastAsia" w:ascii="仿宋" w:hAnsi="仿宋" w:eastAsia="仿宋" w:cs="仿宋"/>
          <w:color w:val="000000" w:themeColor="text1"/>
          <w:szCs w:val="21"/>
          <w:lang w:val="en-US" w:eastAsia="zh-CN"/>
          <w14:textFill>
            <w14:solidFill>
              <w14:schemeClr w14:val="tx1"/>
            </w14:solidFill>
          </w14:textFill>
        </w:rPr>
        <w:t>和技巧</w:t>
      </w:r>
      <w:r>
        <w:rPr>
          <w:rFonts w:hint="eastAsia" w:ascii="仿宋" w:hAnsi="仿宋" w:eastAsia="仿宋" w:cs="仿宋"/>
          <w:color w:val="000000" w:themeColor="text1"/>
          <w:szCs w:val="21"/>
          <w14:textFill>
            <w14:solidFill>
              <w14:schemeClr w14:val="tx1"/>
            </w14:solidFill>
          </w14:textFill>
        </w:rPr>
        <w:t>；</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（6）掌握艺术设计作品分析等理论知识；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（7）熟悉中西方艺术的发展脉络、风格流派及代表作品；</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（8）熟悉群众文化活动策划知识和方法；</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（9）了解艺术教育教学相关理论知识；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（10）了解艺术学以及其他艺术门类基础知识。</w:t>
      </w:r>
    </w:p>
    <w:p>
      <w:pPr>
        <w:widowControl/>
        <w:spacing w:line="340" w:lineRule="exact"/>
        <w:ind w:firstLine="422" w:firstLineChars="200"/>
        <w:jc w:val="left"/>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kern w:val="0"/>
          <w:szCs w:val="21"/>
          <w14:textFill>
            <w14:solidFill>
              <w14:schemeClr w14:val="tx1"/>
            </w14:solidFill>
          </w14:textFill>
        </w:rPr>
        <w:t>3</w:t>
      </w:r>
      <w:r>
        <w:rPr>
          <w:rFonts w:hint="eastAsia" w:ascii="仿宋" w:hAnsi="仿宋" w:eastAsia="仿宋" w:cs="仿宋"/>
          <w:b/>
          <w:color w:val="000000" w:themeColor="text1"/>
          <w:szCs w:val="21"/>
          <w14:textFill>
            <w14:solidFill>
              <w14:schemeClr w14:val="tx1"/>
            </w14:solidFill>
          </w14:textFill>
        </w:rPr>
        <w:t>.能力</w:t>
      </w:r>
    </w:p>
    <w:p>
      <w:pPr>
        <w:spacing w:line="340" w:lineRule="exact"/>
        <w:ind w:firstLine="420" w:firstLineChars="2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（1）具有探究学习、终身学习、分析问题和解决问题的能力；</w:t>
      </w:r>
    </w:p>
    <w:p>
      <w:pPr>
        <w:spacing w:line="340" w:lineRule="exact"/>
        <w:ind w:firstLine="420" w:firstLineChars="200"/>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具有较好地基础绘画、绘图能力；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r>
        <w:rPr>
          <w:rFonts w:hint="eastAsia" w:ascii="仿宋" w:hAnsi="仿宋" w:eastAsia="仿宋" w:cs="仿宋"/>
          <w:color w:val="000000" w:themeColor="text1"/>
          <w:kern w:val="0"/>
          <w:szCs w:val="21"/>
          <w:lang w:val="en-US" w:eastAsia="zh-CN"/>
          <w14:textFill>
            <w14:solidFill>
              <w14:schemeClr w14:val="tx1"/>
            </w14:solidFill>
          </w14:textFill>
        </w:rPr>
        <w:t>3</w:t>
      </w:r>
      <w:r>
        <w:rPr>
          <w:rFonts w:hint="eastAsia" w:ascii="仿宋" w:hAnsi="仿宋" w:eastAsia="仿宋" w:cs="仿宋"/>
          <w:color w:val="000000" w:themeColor="text1"/>
          <w:kern w:val="0"/>
          <w:szCs w:val="21"/>
          <w14:textFill>
            <w14:solidFill>
              <w14:schemeClr w14:val="tx1"/>
            </w14:solidFill>
          </w14:textFill>
        </w:rPr>
        <w:t>）具有较好地信息技术基础应用能力；</w:t>
      </w:r>
    </w:p>
    <w:p>
      <w:pPr>
        <w:spacing w:line="340" w:lineRule="exact"/>
        <w:ind w:left="937" w:leftChars="196" w:hanging="525" w:hangingChars="25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4</w:t>
      </w:r>
      <w:r>
        <w:rPr>
          <w:rFonts w:hint="eastAsia" w:ascii="仿宋" w:hAnsi="仿宋" w:eastAsia="仿宋" w:cs="仿宋"/>
          <w:color w:val="000000" w:themeColor="text1"/>
          <w:szCs w:val="21"/>
          <w14:textFill>
            <w14:solidFill>
              <w14:schemeClr w14:val="tx1"/>
            </w14:solidFill>
          </w14:textFill>
        </w:rPr>
        <w:t>）具有计算机辅助设计软件操作能力；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r>
        <w:rPr>
          <w:rFonts w:hint="eastAsia" w:ascii="仿宋" w:hAnsi="仿宋" w:eastAsia="仿宋" w:cs="仿宋"/>
          <w:color w:val="000000" w:themeColor="text1"/>
          <w:kern w:val="0"/>
          <w:szCs w:val="21"/>
          <w:lang w:val="en-US" w:eastAsia="zh-CN"/>
          <w14:textFill>
            <w14:solidFill>
              <w14:schemeClr w14:val="tx1"/>
            </w14:solidFill>
          </w14:textFill>
        </w:rPr>
        <w:t>5</w:t>
      </w:r>
      <w:r>
        <w:rPr>
          <w:rFonts w:hint="eastAsia" w:ascii="仿宋" w:hAnsi="仿宋" w:eastAsia="仿宋" w:cs="仿宋"/>
          <w:color w:val="000000" w:themeColor="text1"/>
          <w:kern w:val="0"/>
          <w:szCs w:val="21"/>
          <w14:textFill>
            <w14:solidFill>
              <w14:schemeClr w14:val="tx1"/>
            </w14:solidFill>
          </w14:textFill>
        </w:rPr>
        <w:t>）具有较强的造型能力、良好的设计与创意能力；</w:t>
      </w:r>
    </w:p>
    <w:p>
      <w:pPr>
        <w:spacing w:line="340" w:lineRule="exact"/>
        <w:ind w:firstLine="411" w:firstLineChars="196"/>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6</w:t>
      </w:r>
      <w:r>
        <w:rPr>
          <w:rFonts w:hint="eastAsia" w:ascii="仿宋" w:hAnsi="仿宋" w:eastAsia="仿宋" w:cs="仿宋"/>
          <w:color w:val="000000" w:themeColor="text1"/>
          <w:szCs w:val="21"/>
          <w14:textFill>
            <w14:solidFill>
              <w14:schemeClr w14:val="tx1"/>
            </w14:solidFill>
          </w14:textFill>
        </w:rPr>
        <w:t>）具有良好的语言、文字表达能力和沟通能力；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7</w:t>
      </w:r>
      <w:r>
        <w:rPr>
          <w:rFonts w:hint="eastAsia" w:ascii="仿宋" w:hAnsi="仿宋" w:eastAsia="仿宋" w:cs="仿宋"/>
          <w:color w:val="000000" w:themeColor="text1"/>
          <w:szCs w:val="21"/>
          <w14:textFill>
            <w14:solidFill>
              <w14:schemeClr w14:val="tx1"/>
            </w14:solidFill>
          </w14:textFill>
        </w:rPr>
        <w:t>）具有较强的审美能力和案例分析、鉴赏能力；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8</w:t>
      </w:r>
      <w:r>
        <w:rPr>
          <w:rFonts w:hint="eastAsia" w:ascii="仿宋" w:hAnsi="仿宋" w:eastAsia="仿宋" w:cs="仿宋"/>
          <w:color w:val="000000" w:themeColor="text1"/>
          <w:szCs w:val="21"/>
          <w14:textFill>
            <w14:solidFill>
              <w14:schemeClr w14:val="tx1"/>
            </w14:solidFill>
          </w14:textFill>
        </w:rPr>
        <w:t>）具备较强的团队合作精神和组织协调</w:t>
      </w:r>
      <w:r>
        <w:rPr>
          <w:rFonts w:hint="eastAsia" w:ascii="仿宋" w:hAnsi="仿宋" w:eastAsia="仿宋" w:cs="仿宋"/>
          <w:color w:val="000000" w:themeColor="text1"/>
          <w:kern w:val="0"/>
          <w:szCs w:val="21"/>
          <w14:textFill>
            <w14:solidFill>
              <w14:schemeClr w14:val="tx1"/>
            </w14:solidFill>
          </w14:textFill>
        </w:rPr>
        <w:t>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9</w:t>
      </w:r>
      <w:r>
        <w:rPr>
          <w:rFonts w:hint="eastAsia" w:ascii="仿宋" w:hAnsi="仿宋" w:eastAsia="仿宋" w:cs="仿宋"/>
          <w:color w:val="000000" w:themeColor="text1"/>
          <w:szCs w:val="21"/>
          <w14:textFill>
            <w14:solidFill>
              <w14:schemeClr w14:val="tx1"/>
            </w14:solidFill>
          </w14:textFill>
        </w:rPr>
        <w:t>）具备一定的艺术设计综合运用能力与职业拓展能力</w:t>
      </w:r>
      <w:r>
        <w:rPr>
          <w:rFonts w:hint="eastAsia" w:ascii="仿宋" w:hAnsi="仿宋" w:eastAsia="仿宋" w:cs="仿宋"/>
          <w:color w:val="000000" w:themeColor="text1"/>
          <w:kern w:val="0"/>
          <w:szCs w:val="21"/>
          <w14:textFill>
            <w14:solidFill>
              <w14:schemeClr w14:val="tx1"/>
            </w14:solidFill>
          </w14:textFill>
        </w:rPr>
        <w:t>。</w:t>
      </w:r>
    </w:p>
    <w:bookmarkEnd w:id="1"/>
    <w:p>
      <w:pPr>
        <w:numPr>
          <w:ilvl w:val="0"/>
          <w:numId w:val="1"/>
        </w:numPr>
        <w:spacing w:line="340" w:lineRule="exact"/>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课程设置及要求</w:t>
      </w:r>
    </w:p>
    <w:p>
      <w:pPr>
        <w:widowControl/>
        <w:spacing w:line="340" w:lineRule="exact"/>
        <w:ind w:firstLine="420" w:firstLineChars="20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本专业课程设置框架主要包括公共基础课程体系和专业（技能）课程体系。公共课程体系包括思想政治课程模块和文化课程模块；专业（技能）课程体系包括专业（群）平台课程模块、专业核心课程模块、专业技能实训课程模块、专业拓展课程模块等。</w:t>
      </w:r>
    </w:p>
    <w:p>
      <w:pPr>
        <w:numPr>
          <w:ilvl w:val="0"/>
          <w:numId w:val="3"/>
        </w:numPr>
        <w:spacing w:line="400" w:lineRule="exact"/>
        <w:ind w:left="420" w:leftChars="200"/>
        <w:rPr>
          <w:rFonts w:asciiTheme="majorEastAsia" w:hAnsiTheme="majorEastAsia" w:eastAsiaTheme="majorEastAsia" w:cstheme="majorEastAsia"/>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主要公共基础课程教学内容及目标要求</w:t>
      </w:r>
    </w:p>
    <w:tbl>
      <w:tblPr>
        <w:tblStyle w:val="11"/>
        <w:tblW w:w="99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276"/>
        <w:gridCol w:w="3756"/>
        <w:gridCol w:w="41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序</w:t>
            </w:r>
          </w:p>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号</w:t>
            </w:r>
          </w:p>
        </w:tc>
        <w:tc>
          <w:tcPr>
            <w:tcW w:w="1276" w:type="dxa"/>
            <w:tcBorders>
              <w:tl2br w:val="nil"/>
              <w:tr2bl w:val="nil"/>
            </w:tcBorders>
            <w:vAlign w:val="center"/>
          </w:tcPr>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课程</w:t>
            </w:r>
          </w:p>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名称</w:t>
            </w:r>
          </w:p>
        </w:tc>
        <w:tc>
          <w:tcPr>
            <w:tcW w:w="3756" w:type="dxa"/>
            <w:tcBorders>
              <w:tl2br w:val="nil"/>
              <w:tr2bl w:val="nil"/>
            </w:tcBorders>
            <w:vAlign w:val="center"/>
          </w:tcPr>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主要教学内容</w:t>
            </w:r>
          </w:p>
        </w:tc>
        <w:tc>
          <w:tcPr>
            <w:tcW w:w="4172" w:type="dxa"/>
            <w:tcBorders>
              <w:tl2br w:val="nil"/>
              <w:tr2bl w:val="nil"/>
            </w:tcBorders>
            <w:vAlign w:val="center"/>
          </w:tcPr>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目标要求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中国特色社会主义</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（32）</w:t>
            </w:r>
          </w:p>
        </w:tc>
        <w:tc>
          <w:tcPr>
            <w:tcW w:w="3756" w:type="dxa"/>
            <w:tcBorders>
              <w:tl2br w:val="nil"/>
              <w:tr2bl w:val="nil"/>
            </w:tcBorders>
            <w:vAlign w:val="center"/>
          </w:tcPr>
          <w:p>
            <w:pPr>
              <w:snapToGrid w:val="0"/>
              <w:ind w:firstLine="420" w:firstLineChars="200"/>
              <w:jc w:val="left"/>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阐释中国特色社会主义的开创与发展，明确中国特色社会主义进入新时代的历史方位， 阐明中国特色社会主义建设“五位一体”总体布局的基本内容。</w:t>
            </w:r>
          </w:p>
        </w:tc>
        <w:tc>
          <w:tcPr>
            <w:tcW w:w="4172" w:type="dxa"/>
            <w:tcBorders>
              <w:tl2br w:val="nil"/>
              <w:tr2bl w:val="nil"/>
            </w:tcBorders>
            <w:vAlign w:val="center"/>
          </w:tcPr>
          <w:p>
            <w:pPr>
              <w:snapToGrid w:val="0"/>
              <w:ind w:firstLine="420" w:firstLineChars="20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紧密结合社会实践和学生实际，引导学生树立对马克思主义的信仰、对中国特色社会主义的信念、对中华民族伟大复兴中国梦的信心，坚定中国特色社会主义道路自信、理论自信、制度自信、文化自信，把爱国情、强国志、报国行自觉融入坚持和发展中国特色社会 主义事业、建设社会主义现代化强国、实现中华民族伟大复兴的奋斗之中。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心理健康与职业生涯</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（3</w:t>
            </w:r>
            <w:r>
              <w:rPr>
                <w:rFonts w:hint="eastAsia" w:ascii="仿宋" w:hAnsi="仿宋" w:eastAsia="仿宋" w:cs="仿宋"/>
                <w:bCs/>
                <w:color w:val="000000" w:themeColor="text1"/>
                <w:szCs w:val="21"/>
                <w:lang w:val="en-US" w:eastAsia="zh-CN"/>
                <w14:textFill>
                  <w14:solidFill>
                    <w14:schemeClr w14:val="tx1"/>
                  </w14:solidFill>
                </w14:textFill>
              </w:rPr>
              <w:t>2</w:t>
            </w:r>
            <w:r>
              <w:rPr>
                <w:rFonts w:hint="eastAsia" w:ascii="仿宋" w:hAnsi="仿宋" w:eastAsia="仿宋" w:cs="仿宋"/>
                <w:bCs/>
                <w:color w:val="000000" w:themeColor="text1"/>
                <w:szCs w:val="21"/>
                <w14:textFill>
                  <w14:solidFill>
                    <w14:schemeClr w14:val="tx1"/>
                  </w14:solidFill>
                </w14:textFill>
              </w:rPr>
              <w:t>）</w:t>
            </w:r>
          </w:p>
        </w:tc>
        <w:tc>
          <w:tcPr>
            <w:tcW w:w="3756" w:type="dxa"/>
            <w:tcBorders>
              <w:tl2br w:val="nil"/>
              <w:tr2bl w:val="nil"/>
            </w:tcBorders>
          </w:tcPr>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阐释职业生涯发展环境、职业生涯规划；正确认识自我、正确认识职业理想与现实的关系；了解个体生理与心理特点差异，情绪的基本特征和成因；职业群及演变趋势；立足专业，谋划发展；提升职业素养的方法；良好的人际关系与交往方法；科学的学习方法及良好的学习习惯等。</w:t>
            </w:r>
          </w:p>
          <w:p>
            <w:pPr>
              <w:snapToGrid w:val="0"/>
              <w:ind w:firstLine="420" w:firstLineChars="200"/>
              <w:rPr>
                <w:rFonts w:ascii="仿宋" w:hAnsi="仿宋" w:eastAsia="仿宋" w:cs="仿宋"/>
                <w:bCs/>
                <w:color w:val="000000" w:themeColor="text1"/>
                <w:szCs w:val="21"/>
                <w14:textFill>
                  <w14:solidFill>
                    <w14:schemeClr w14:val="tx1"/>
                  </w14:solidFill>
                </w14:textFill>
              </w:rPr>
            </w:pPr>
          </w:p>
        </w:tc>
        <w:tc>
          <w:tcPr>
            <w:tcW w:w="4172" w:type="dxa"/>
            <w:tcBorders>
              <w:tl2br w:val="nil"/>
              <w:tr2bl w:val="nil"/>
            </w:tcBorders>
          </w:tcPr>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通过本门课程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哲学与人生</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（3</w:t>
            </w:r>
            <w:r>
              <w:rPr>
                <w:rFonts w:hint="eastAsia" w:ascii="仿宋" w:hAnsi="仿宋" w:eastAsia="仿宋" w:cs="仿宋"/>
                <w:bCs/>
                <w:color w:val="000000" w:themeColor="text1"/>
                <w:szCs w:val="21"/>
                <w:lang w:val="en-US" w:eastAsia="zh-CN"/>
                <w14:textFill>
                  <w14:solidFill>
                    <w14:schemeClr w14:val="tx1"/>
                  </w14:solidFill>
                </w14:textFill>
              </w:rPr>
              <w:t>2</w:t>
            </w:r>
            <w:r>
              <w:rPr>
                <w:rFonts w:hint="eastAsia" w:ascii="仿宋" w:hAnsi="仿宋" w:eastAsia="仿宋" w:cs="仿宋"/>
                <w:bCs/>
                <w:color w:val="000000" w:themeColor="text1"/>
                <w:szCs w:val="21"/>
                <w14:textFill>
                  <w14:solidFill>
                    <w14:schemeClr w14:val="tx1"/>
                  </w14:solidFill>
                </w14:textFill>
              </w:rPr>
              <w:t>）</w:t>
            </w:r>
          </w:p>
        </w:tc>
        <w:tc>
          <w:tcPr>
            <w:tcW w:w="3756" w:type="dxa"/>
            <w:tcBorders>
              <w:tl2br w:val="nil"/>
              <w:tr2bl w:val="nil"/>
            </w:tcBorders>
            <w:vAlign w:val="center"/>
          </w:tcPr>
          <w:p>
            <w:pPr>
              <w:snapToGrid w:val="0"/>
              <w:ind w:firstLine="420" w:firstLineChars="200"/>
              <w:jc w:val="left"/>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阐明马克思主义哲学是科学的世界观和方法论，讲述辩证唯物主义和历史唯物主义基本观点及其对人生成长的意义；阐述社会生活及个人成长中进行正确的价值判断和行为选择的意义；社会主义核心价值观内涵等。</w:t>
            </w:r>
          </w:p>
          <w:p>
            <w:pPr>
              <w:snapToGrid w:val="0"/>
              <w:ind w:firstLine="420" w:firstLineChars="200"/>
              <w:jc w:val="left"/>
              <w:rPr>
                <w:rFonts w:ascii="仿宋" w:hAnsi="仿宋" w:eastAsia="仿宋" w:cs="仿宋"/>
                <w:bCs/>
                <w:color w:val="000000" w:themeColor="text1"/>
                <w:szCs w:val="21"/>
                <w14:textFill>
                  <w14:solidFill>
                    <w14:schemeClr w14:val="tx1"/>
                  </w14:solidFill>
                </w14:textFill>
              </w:rPr>
            </w:pPr>
          </w:p>
        </w:tc>
        <w:tc>
          <w:tcPr>
            <w:tcW w:w="4172" w:type="dxa"/>
            <w:tcBorders>
              <w:tl2br w:val="nil"/>
              <w:tr2bl w:val="nil"/>
            </w:tcBorders>
          </w:tcPr>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通过本门课程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职业道德与法治</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（3</w:t>
            </w:r>
            <w:r>
              <w:rPr>
                <w:rFonts w:hint="eastAsia" w:ascii="仿宋" w:hAnsi="仿宋" w:eastAsia="仿宋" w:cs="仿宋"/>
                <w:bCs/>
                <w:color w:val="000000" w:themeColor="text1"/>
                <w:szCs w:val="21"/>
                <w:lang w:val="en-US" w:eastAsia="zh-CN"/>
                <w14:textFill>
                  <w14:solidFill>
                    <w14:schemeClr w14:val="tx1"/>
                  </w14:solidFill>
                </w14:textFill>
              </w:rPr>
              <w:t>2</w:t>
            </w:r>
            <w:r>
              <w:rPr>
                <w:rFonts w:hint="eastAsia" w:ascii="仿宋" w:hAnsi="仿宋" w:eastAsia="仿宋" w:cs="仿宋"/>
                <w:bCs/>
                <w:color w:val="000000" w:themeColor="text1"/>
                <w:szCs w:val="21"/>
                <w14:textFill>
                  <w14:solidFill>
                    <w14:schemeClr w14:val="tx1"/>
                  </w14:solidFill>
                </w14:textFill>
              </w:rPr>
              <w:t>）</w:t>
            </w:r>
          </w:p>
          <w:p>
            <w:pPr>
              <w:adjustRightInd w:val="0"/>
              <w:snapToGrid w:val="0"/>
              <w:jc w:val="center"/>
              <w:rPr>
                <w:rFonts w:ascii="仿宋" w:hAnsi="仿宋" w:eastAsia="仿宋" w:cs="仿宋"/>
                <w:bCs/>
                <w:color w:val="000000" w:themeColor="text1"/>
                <w:szCs w:val="21"/>
                <w14:textFill>
                  <w14:solidFill>
                    <w14:schemeClr w14:val="tx1"/>
                  </w14:solidFill>
                </w14:textFill>
              </w:rPr>
            </w:pPr>
          </w:p>
        </w:tc>
        <w:tc>
          <w:tcPr>
            <w:tcW w:w="3756" w:type="dxa"/>
            <w:tcBorders>
              <w:tl2br w:val="nil"/>
              <w:tr2bl w:val="nil"/>
            </w:tcBorders>
            <w:vAlign w:val="center"/>
          </w:tcPr>
          <w:p>
            <w:pPr>
              <w:snapToGrid w:val="0"/>
              <w:ind w:firstLine="420" w:firstLineChars="200"/>
              <w:jc w:val="left"/>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感悟道德力量；践行职业道德的基本规范，提升职业道德境界；坚持全面依法治国；维护宪法尊严，遵循法律规范。</w:t>
            </w:r>
          </w:p>
        </w:tc>
        <w:tc>
          <w:tcPr>
            <w:tcW w:w="4172" w:type="dxa"/>
            <w:tcBorders>
              <w:tl2br w:val="nil"/>
              <w:tr2bl w:val="nil"/>
            </w:tcBorders>
          </w:tcPr>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通过本门课程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highlight w:val="red"/>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思想道德与法</w:t>
            </w:r>
            <w:r>
              <w:rPr>
                <w:rFonts w:hint="eastAsia" w:ascii="仿宋" w:hAnsi="仿宋" w:eastAsia="仿宋" w:cs="仿宋"/>
                <w:bCs/>
                <w:color w:val="000000" w:themeColor="text1"/>
                <w:szCs w:val="21"/>
                <w:lang w:eastAsia="zh-CN"/>
                <w14:textFill>
                  <w14:solidFill>
                    <w14:schemeClr w14:val="tx1"/>
                  </w14:solidFill>
                </w14:textFill>
              </w:rPr>
              <w:t>治</w:t>
            </w:r>
            <w:bookmarkStart w:id="2" w:name="_GoBack"/>
            <w:bookmarkEnd w:id="2"/>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w:t>
            </w:r>
            <w:r>
              <w:rPr>
                <w:rFonts w:hint="eastAsia" w:ascii="仿宋" w:hAnsi="仿宋" w:eastAsia="仿宋" w:cs="仿宋"/>
                <w:bCs/>
                <w:color w:val="000000" w:themeColor="text1"/>
                <w:szCs w:val="21"/>
                <w:lang w:val="en-US" w:eastAsia="zh-CN"/>
                <w14:textFill>
                  <w14:solidFill>
                    <w14:schemeClr w14:val="tx1"/>
                  </w14:solidFill>
                </w14:textFill>
              </w:rPr>
              <w:t>48</w:t>
            </w:r>
            <w:r>
              <w:rPr>
                <w:rFonts w:hint="eastAsia" w:ascii="仿宋" w:hAnsi="仿宋" w:eastAsia="仿宋" w:cs="仿宋"/>
                <w:bCs/>
                <w:color w:val="000000" w:themeColor="text1"/>
                <w:szCs w:val="21"/>
                <w14:textFill>
                  <w14:solidFill>
                    <w14:schemeClr w14:val="tx1"/>
                  </w14:solidFill>
                </w14:textFill>
              </w:rPr>
              <w:t>）</w:t>
            </w:r>
          </w:p>
        </w:tc>
        <w:tc>
          <w:tcPr>
            <w:tcW w:w="3756" w:type="dxa"/>
            <w:tcBorders>
              <w:tl2br w:val="nil"/>
              <w:tr2bl w:val="nil"/>
            </w:tcBorders>
          </w:tcPr>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本课程包括知识模块和实践模块。</w:t>
            </w:r>
          </w:p>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知识模块：做担当民族复兴大任的时代新人，确立高尚的人生追求，科学应对人生的各种挑战，理想信念内涵与作用，确立崇高科学的理想信念，中国精神的科学内涵和现实意义，弘扬新时代的爱国主义，坚定社会主义核心价值观自信、践行社会主义核心价值观的基本要求，社会主义道德的形成及其本质，社会主义道德的核心、原则及其规范，在实践中养成优良道德品质，我国社会主义法律的本质和作用，坚持全面依法治国，培养社会主义法治思维，依法行使权利与履行义务。</w:t>
            </w:r>
          </w:p>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实践模块：通过课堂讨论、经典回放、文献报告等课堂实践，校外参观学习、假期社会调查等社会实践，实现理论学习与实践体验的有效衔接。</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紧密结合社会实践和学生实际，运用辩证唯物主义和历史唯物主义世界观和方法论，引导大学生树立正确的世界观、人生观、价值观、道德观和法治观, 解决成长成才过程中遇到的实际问题，更好适应大学生活，促进德智体美劳全面发展。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6</w:t>
            </w:r>
          </w:p>
        </w:tc>
        <w:tc>
          <w:tcPr>
            <w:tcW w:w="1276" w:type="dxa"/>
            <w:tcBorders>
              <w:tl2br w:val="nil"/>
              <w:tr2bl w:val="nil"/>
            </w:tcBorders>
            <w:vAlign w:val="center"/>
          </w:tcPr>
          <w:p>
            <w:pPr>
              <w:adjustRightInd w:val="0"/>
              <w:snapToGrid w:val="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毛泽东思想和中国特色社会主义理论体系概论</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（64）</w:t>
            </w:r>
          </w:p>
        </w:tc>
        <w:tc>
          <w:tcPr>
            <w:tcW w:w="3756" w:type="dxa"/>
            <w:tcBorders>
              <w:tl2br w:val="nil"/>
              <w:tr2bl w:val="nil"/>
            </w:tcBorders>
          </w:tcPr>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阐述马克思主义中国化理论成果的主要内容、精神实质、历史地位和指导意义，毛泽东思想的主要内容及其历史地位，邓小平理论、“三个代表”重要思想、科学发展观各自形成的社会历史条件、形成发展过程、主要内容和历史地位，习近平新时代中国特色社会主义思想的主要内容及其历史地位，坚持和发展中国特色社会主义的总任务，系统阐述“五位一体”总体布局和“四个全面”战略布局，全面推进国防和军队现代化，中国特色大国外交、坚持和加强党的领导等。</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旨在从整体上阐释马克思主义中国化理论成果，既体现马克思主义中国化理论成果形成和发展的历史逻辑，又体现这些理论成果的理论逻辑；既体现马克思主义中国化理论成果的 整体性，又体现各个理论成果的重点和难点，力求全面准确地理解毛泽东思想和中国特色社会主义理论体系，尤其是马克思主义中国化的最新成果——习近平新时代中国特色社会主义思想，引导学生增强中国特色社会主义道路自信、理论自信、制度自信、文化自信，努力培养德智体美劳全面发展的社会主义建设者和接班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7</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语文</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w:t>
            </w:r>
            <w:r>
              <w:rPr>
                <w:rFonts w:hint="eastAsia" w:ascii="仿宋" w:hAnsi="仿宋" w:eastAsia="仿宋" w:cs="仿宋"/>
                <w:bCs/>
                <w:color w:val="000000" w:themeColor="text1"/>
                <w:szCs w:val="21"/>
                <w:lang w:val="en-US" w:eastAsia="zh-CN"/>
                <w14:textFill>
                  <w14:solidFill>
                    <w14:schemeClr w14:val="tx1"/>
                  </w14:solidFill>
                </w14:textFill>
              </w:rPr>
              <w:t>29</w:t>
            </w:r>
            <w:r>
              <w:rPr>
                <w:rFonts w:hint="eastAsia" w:ascii="仿宋" w:hAnsi="仿宋" w:eastAsia="仿宋" w:cs="仿宋"/>
                <w:bCs/>
                <w:color w:val="000000" w:themeColor="text1"/>
                <w:szCs w:val="21"/>
                <w14:textFill>
                  <w14:solidFill>
                    <w14:schemeClr w14:val="tx1"/>
                  </w14:solidFill>
                </w14:textFill>
              </w:rPr>
              <w:t>2）</w:t>
            </w:r>
          </w:p>
        </w:tc>
        <w:tc>
          <w:tcPr>
            <w:tcW w:w="3756" w:type="dxa"/>
            <w:tcBorders>
              <w:tl2br w:val="nil"/>
              <w:tr2bl w:val="nil"/>
            </w:tcBorders>
          </w:tcPr>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本课程分为基础模块（必修）、职业模块（限定选修）、拓展模块（选修）。</w:t>
            </w:r>
          </w:p>
          <w:p>
            <w:pPr>
              <w:adjustRightInd w:val="0"/>
              <w:snapToGrid w:val="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 xml:space="preserve"> </w:t>
            </w:r>
            <w:r>
              <w:rPr>
                <w:rFonts w:ascii="仿宋" w:hAnsi="仿宋" w:eastAsia="仿宋" w:cs="仿宋"/>
                <w:bCs/>
                <w:color w:val="000000" w:themeColor="text1"/>
                <w14:textFill>
                  <w14:solidFill>
                    <w14:schemeClr w14:val="tx1"/>
                  </w14:solidFill>
                </w14:textFill>
              </w:rPr>
              <w:t xml:space="preserve">   </w:t>
            </w:r>
            <w:r>
              <w:rPr>
                <w:rFonts w:hint="eastAsia" w:ascii="仿宋" w:hAnsi="仿宋" w:eastAsia="仿宋" w:cs="仿宋"/>
                <w:bCs/>
                <w:color w:val="000000" w:themeColor="text1"/>
                <w14:textFill>
                  <w14:solidFill>
                    <w14:schemeClr w14:val="tx1"/>
                  </w14:solidFill>
                </w14:textFill>
              </w:rPr>
              <w:t>基础模块：语感与语言习得，中外文学作品选读，实用性阅读与口语交流，古代诗文选读，中国革命传统作品选读，社会主义先进文化作品选读。</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职业模块：劳模、工匠精神作品研读，职场应用写作与交流，科普作品选读。</w:t>
            </w:r>
          </w:p>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拓展模块：思辨性阅读与表达，古代科技著述选读，中外文学作品研读。</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正确、熟练、有效地运用祖国语言文字；加强语文积累，提升语言文字运用能力；增强语文鉴赏和感受能力；品味语言，感受形象，理解思想内容，欣赏艺术魅力，发展想象能力和审美能力；增强思考和领悟意识，开阔语文学习视野，拓宽语文学习范围，发展语文学习潜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8</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数学</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（2</w:t>
            </w:r>
            <w:r>
              <w:rPr>
                <w:rFonts w:hint="eastAsia" w:ascii="仿宋" w:hAnsi="仿宋" w:eastAsia="仿宋" w:cs="仿宋"/>
                <w:bCs/>
                <w:color w:val="000000" w:themeColor="text1"/>
                <w:szCs w:val="21"/>
                <w:lang w:val="en-US" w:eastAsia="zh-CN"/>
                <w14:textFill>
                  <w14:solidFill>
                    <w14:schemeClr w14:val="tx1"/>
                  </w14:solidFill>
                </w14:textFill>
              </w:rPr>
              <w:t>5</w:t>
            </w:r>
            <w:r>
              <w:rPr>
                <w:rFonts w:hint="eastAsia" w:ascii="仿宋" w:hAnsi="仿宋" w:eastAsia="仿宋" w:cs="仿宋"/>
                <w:bCs/>
                <w:color w:val="000000" w:themeColor="text1"/>
                <w:szCs w:val="21"/>
                <w14:textFill>
                  <w14:solidFill>
                    <w14:schemeClr w14:val="tx1"/>
                  </w14:solidFill>
                </w14:textFill>
              </w:rPr>
              <w:t>8）</w:t>
            </w:r>
          </w:p>
        </w:tc>
        <w:tc>
          <w:tcPr>
            <w:tcW w:w="3756" w:type="dxa"/>
            <w:tcBorders>
              <w:tl2br w:val="nil"/>
              <w:tr2bl w:val="nil"/>
            </w:tcBorders>
            <w:vAlign w:val="center"/>
          </w:tcPr>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本课程分为必修模块、选修模块、发展（应用）模块。</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必修模块：集合、不等式、函数、三角函数、数列、平面向量、立体几何、概率与统计初步、复数、线性规划初步、平面解析几何、排列、组合与二项式定理等。</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选修模块：逻辑代数初步、算法与程序框图、数据表格信息处理、编制计划的原理与方法（学校可根据实际需求在上述四个部分内容中选择两部分内容进行教学）。</w:t>
            </w:r>
          </w:p>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发展（应用）模块：极限与连续、导数与微分等内容，或专业数学（如线性代数）。</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提高作为高技能人才所必须具备的数学素养。获得必要的数学基础知识和基本技能；了解概念、结论等的产生背景及应用，体会其中所蕴涵的数学思想方法；提高空间想象、逻辑推理、运算求解、数据处理、现代信息技术运用和分析、解决简单实际问题的能力；发展数学应用意识和创新意识，形成良好的数学学习习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9</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英语</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（2</w:t>
            </w:r>
            <w:r>
              <w:rPr>
                <w:rFonts w:hint="eastAsia" w:ascii="仿宋" w:hAnsi="仿宋" w:eastAsia="仿宋" w:cs="仿宋"/>
                <w:bCs/>
                <w:color w:val="000000" w:themeColor="text1"/>
                <w:szCs w:val="21"/>
                <w:lang w:val="en-US" w:eastAsia="zh-CN"/>
                <w14:textFill>
                  <w14:solidFill>
                    <w14:schemeClr w14:val="tx1"/>
                  </w14:solidFill>
                </w14:textFill>
              </w:rPr>
              <w:t>2</w:t>
            </w:r>
            <w:r>
              <w:rPr>
                <w:rFonts w:hint="eastAsia" w:ascii="仿宋" w:hAnsi="仿宋" w:eastAsia="仿宋" w:cs="仿宋"/>
                <w:bCs/>
                <w:color w:val="000000" w:themeColor="text1"/>
                <w:szCs w:val="21"/>
                <w14:textFill>
                  <w14:solidFill>
                    <w14:schemeClr w14:val="tx1"/>
                  </w14:solidFill>
                </w14:textFill>
              </w:rPr>
              <w:t>4）</w:t>
            </w:r>
          </w:p>
        </w:tc>
        <w:tc>
          <w:tcPr>
            <w:tcW w:w="3756" w:type="dxa"/>
            <w:tcBorders>
              <w:tl2br w:val="nil"/>
              <w:tr2bl w:val="nil"/>
            </w:tcBorders>
          </w:tcPr>
          <w:p>
            <w:pPr>
              <w:snapToGrid w:val="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 xml:space="preserve">    本课程分为必修模块、选修模块。</w:t>
            </w:r>
          </w:p>
          <w:p>
            <w:pPr>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必修模块以主题为主线，涵盖语篇类型、语言与技能知识、文化情感知识。</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在自我与他人、生活与学习、社会交往、社会服务、历史与文化、科学与技术、自然与环境和可持续发展8个主题中，涵盖记叙文、说明文、应用文和议论文等文体，并涉及口头、书面语体。</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语言与技能知识包括语音知识、词汇知识、语法知识、语篇知识、语用知识。</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文化情感知识包括</w:t>
            </w:r>
            <w:r>
              <w:rPr>
                <w:rFonts w:ascii="仿宋" w:hAnsi="仿宋" w:eastAsia="仿宋" w:cs="仿宋"/>
                <w:bCs/>
                <w:color w:val="000000" w:themeColor="text1"/>
                <w14:textFill>
                  <w14:solidFill>
                    <w14:schemeClr w14:val="tx1"/>
                  </w14:solidFill>
                </w14:textFill>
              </w:rPr>
              <w:t>中外文化的成就及其代表人物</w:t>
            </w:r>
            <w:r>
              <w:rPr>
                <w:rFonts w:hint="eastAsia" w:ascii="仿宋" w:hAnsi="仿宋" w:eastAsia="仿宋" w:cs="仿宋"/>
                <w:bCs/>
                <w:color w:val="000000" w:themeColor="text1"/>
                <w14:textFill>
                  <w14:solidFill>
                    <w14:schemeClr w14:val="tx1"/>
                  </w14:solidFill>
                </w14:textFill>
              </w:rPr>
              <w:t>、</w:t>
            </w:r>
            <w:r>
              <w:rPr>
                <w:rFonts w:ascii="仿宋" w:hAnsi="仿宋" w:eastAsia="仿宋" w:cs="仿宋"/>
                <w:bCs/>
                <w:color w:val="000000" w:themeColor="text1"/>
                <w14:textFill>
                  <w14:solidFill>
                    <w14:schemeClr w14:val="tx1"/>
                  </w14:solidFill>
                </w14:textFill>
              </w:rPr>
              <w:t>中外传统节日和民俗的异同</w:t>
            </w:r>
            <w:r>
              <w:rPr>
                <w:rFonts w:hint="eastAsia" w:ascii="仿宋" w:hAnsi="仿宋" w:eastAsia="仿宋" w:cs="仿宋"/>
                <w:bCs/>
                <w:color w:val="000000" w:themeColor="text1"/>
                <w14:textFill>
                  <w14:solidFill>
                    <w14:schemeClr w14:val="tx1"/>
                  </w14:solidFill>
                </w14:textFill>
              </w:rPr>
              <w:t>、</w:t>
            </w:r>
            <w:r>
              <w:rPr>
                <w:rFonts w:ascii="仿宋" w:hAnsi="仿宋" w:eastAsia="仿宋" w:cs="仿宋"/>
                <w:bCs/>
                <w:color w:val="000000" w:themeColor="text1"/>
                <w14:textFill>
                  <w14:solidFill>
                    <w14:schemeClr w14:val="tx1"/>
                  </w14:solidFill>
                </w14:textFill>
              </w:rPr>
              <w:t>中外文明礼仪的</w:t>
            </w:r>
            <w:r>
              <w:rPr>
                <w:rFonts w:hint="eastAsia" w:ascii="仿宋" w:hAnsi="仿宋" w:eastAsia="仿宋" w:cs="仿宋"/>
                <w:bCs/>
                <w:color w:val="000000" w:themeColor="text1"/>
                <w14:textFill>
                  <w14:solidFill>
                    <w14:schemeClr w14:val="tx1"/>
                  </w14:solidFill>
                </w14:textFill>
              </w:rPr>
              <w:t>差异、</w:t>
            </w:r>
            <w:r>
              <w:rPr>
                <w:rFonts w:ascii="仿宋" w:hAnsi="仿宋" w:eastAsia="仿宋" w:cs="仿宋"/>
                <w:bCs/>
                <w:color w:val="000000" w:themeColor="text1"/>
                <w14:textFill>
                  <w14:solidFill>
                    <w14:schemeClr w14:val="tx1"/>
                  </w14:solidFill>
                </w14:textFill>
              </w:rPr>
              <w:t>相关国家人文地理</w:t>
            </w:r>
            <w:r>
              <w:rPr>
                <w:rFonts w:hint="eastAsia" w:ascii="仿宋" w:hAnsi="仿宋" w:eastAsia="仿宋" w:cs="仿宋"/>
                <w:bCs/>
                <w:color w:val="000000" w:themeColor="text1"/>
                <w14:textFill>
                  <w14:solidFill>
                    <w14:schemeClr w14:val="tx1"/>
                  </w14:solidFill>
                </w14:textFill>
              </w:rPr>
              <w:t>、</w:t>
            </w:r>
            <w:r>
              <w:rPr>
                <w:rFonts w:ascii="仿宋" w:hAnsi="仿宋" w:eastAsia="仿宋" w:cs="仿宋"/>
                <w:bCs/>
                <w:color w:val="000000" w:themeColor="text1"/>
                <w14:textFill>
                  <w14:solidFill>
                    <w14:schemeClr w14:val="tx1"/>
                  </w14:solidFill>
                </w14:textFill>
              </w:rPr>
              <w:t>中华优秀传统文化</w:t>
            </w:r>
            <w:r>
              <w:rPr>
                <w:rFonts w:hint="eastAsia" w:ascii="仿宋" w:hAnsi="仿宋" w:eastAsia="仿宋" w:cs="仿宋"/>
                <w:bCs/>
                <w:color w:val="000000" w:themeColor="text1"/>
                <w14:textFill>
                  <w14:solidFill>
                    <w14:schemeClr w14:val="tx1"/>
                  </w14:solidFill>
                </w14:textFill>
              </w:rPr>
              <w:t>等。</w:t>
            </w:r>
          </w:p>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选修模块：依据与职业领域相关的通用职场能力设立求职应聘、职场礼仪、职场服务、设备操作、技术应用、职场安全、危机应对、职场规划等主题。</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掌握英语基础知识和基本技能，发展英语学科核心素养。能运用所学语言知识和技能在职场沟通方面进行跨文化交流与情感沟通；在逻辑论证方面体现出思辨思维；能够自主、有效规划个人学习，通过多渠道获取英语学习资源，选择恰当的学习策略和方法，提高学习效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w:t>
            </w:r>
            <w:r>
              <w:rPr>
                <w:rFonts w:ascii="仿宋" w:hAnsi="仿宋" w:eastAsia="仿宋" w:cs="仿宋"/>
                <w:bCs/>
                <w:color w:val="000000" w:themeColor="text1"/>
                <w:sz w:val="24"/>
                <w14:textFill>
                  <w14:solidFill>
                    <w14:schemeClr w14:val="tx1"/>
                  </w14:solidFill>
                </w14:textFill>
              </w:rPr>
              <w:t>0</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信息技术</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（9</w:t>
            </w:r>
            <w:r>
              <w:rPr>
                <w:rFonts w:hint="eastAsia" w:ascii="仿宋" w:hAnsi="仿宋" w:eastAsia="仿宋" w:cs="仿宋"/>
                <w:bCs/>
                <w:color w:val="000000" w:themeColor="text1"/>
                <w:szCs w:val="21"/>
                <w:lang w:val="en-US" w:eastAsia="zh-CN"/>
                <w14:textFill>
                  <w14:solidFill>
                    <w14:schemeClr w14:val="tx1"/>
                  </w14:solidFill>
                </w14:textFill>
              </w:rPr>
              <w:t>6</w:t>
            </w:r>
            <w:r>
              <w:rPr>
                <w:rFonts w:hint="eastAsia" w:ascii="仿宋" w:hAnsi="仿宋" w:eastAsia="仿宋" w:cs="仿宋"/>
                <w:bCs/>
                <w:color w:val="000000" w:themeColor="text1"/>
                <w:szCs w:val="21"/>
                <w14:textFill>
                  <w14:solidFill>
                    <w14:schemeClr w14:val="tx1"/>
                  </w14:solidFill>
                </w14:textFill>
              </w:rPr>
              <w:t>）</w:t>
            </w:r>
          </w:p>
        </w:tc>
        <w:tc>
          <w:tcPr>
            <w:tcW w:w="3756" w:type="dxa"/>
            <w:tcBorders>
              <w:tl2br w:val="nil"/>
              <w:tr2bl w:val="nil"/>
            </w:tcBorders>
          </w:tcPr>
          <w:p>
            <w:pPr>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本课程分为基础模块（必修）和拓展模块（选修）。</w:t>
            </w:r>
          </w:p>
          <w:p>
            <w:pPr>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基础模块：信息技术应用基础、网络技术应用、图文编辑、数据处理、演示文稿制作、程序设计入门、数字媒体技术应用、信息安全基础、人工智能。</w:t>
            </w:r>
          </w:p>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拓展模块：维护计算机与移动终端、组建小型网络、应用办公云、制作实用图册、绘制三维数字模型、编制数据报表、创作数字媒体作品、体验 VR/AR应用、开设个人网店、设计应用程序、保护信息安全（不</w:t>
            </w:r>
            <w:r>
              <w:rPr>
                <w:rFonts w:hint="eastAsia" w:ascii="仿宋" w:hAnsi="仿宋" w:cs="仿宋"/>
                <w:bCs/>
                <w:color w:val="000000" w:themeColor="text1"/>
                <w14:textFill>
                  <w14:solidFill>
                    <w14:schemeClr w14:val="tx1"/>
                  </w14:solidFill>
                </w14:textFill>
              </w:rPr>
              <w:t>同</w:t>
            </w:r>
            <w:r>
              <w:rPr>
                <w:rFonts w:hint="eastAsia" w:ascii="仿宋" w:hAnsi="仿宋" w:eastAsia="仿宋" w:cs="仿宋"/>
                <w:bCs/>
                <w:color w:val="000000" w:themeColor="text1"/>
                <w14:textFill>
                  <w14:solidFill>
                    <w14:schemeClr w14:val="tx1"/>
                  </w14:solidFill>
                </w14:textFill>
              </w:rPr>
              <w:t>类别的专业可根据实际需求选择2—3个专题进行教学）。</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了解信息技术设备与系统操作、程序设计、网络应用、图文编辑、数据处理、数字媒体技术应用、信息安全防护和人工智能应用等相关知识；理解信息社会特征；遵循信息社会规范；掌握信息技术在生产、生活和学习情境中的相关应用技能；具备综合运用信息技术和所学专业知识解决职业岗位情境中具体业务问题的信息化职业能力。</w:t>
            </w:r>
          </w:p>
        </w:tc>
      </w:tr>
    </w:tbl>
    <w:p>
      <w:pPr>
        <w:widowControl/>
        <w:rPr>
          <w:rFonts w:ascii="仿宋" w:hAnsi="仿宋" w:eastAsia="仿宋" w:cs="仿宋"/>
          <w:b/>
          <w:bCs/>
          <w:color w:val="000000" w:themeColor="text1"/>
          <w:szCs w:val="21"/>
          <w14:textFill>
            <w14:solidFill>
              <w14:schemeClr w14:val="tx1"/>
            </w14:solidFill>
          </w14:textFill>
        </w:rPr>
      </w:pPr>
    </w:p>
    <w:p>
      <w:pPr>
        <w:widowControl/>
        <w:ind w:firstLine="211" w:firstLineChars="100"/>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（二）主要专业（群）平台课程教学内容及目标要求</w:t>
      </w:r>
    </w:p>
    <w:tbl>
      <w:tblPr>
        <w:tblStyle w:val="11"/>
        <w:tblW w:w="98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5"/>
        <w:gridCol w:w="1065"/>
        <w:gridCol w:w="3825"/>
        <w:gridCol w:w="424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65" w:type="dxa"/>
            <w:tcBorders>
              <w:top w:val="single" w:color="auto" w:sz="12" w:space="0"/>
              <w:bottom w:val="single" w:color="auto" w:sz="6" w:space="0"/>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序号</w:t>
            </w:r>
          </w:p>
        </w:tc>
        <w:tc>
          <w:tcPr>
            <w:tcW w:w="1065" w:type="dxa"/>
            <w:tcBorders>
              <w:top w:val="single" w:color="auto" w:sz="12" w:space="0"/>
              <w:bottom w:val="single" w:color="auto" w:sz="6" w:space="0"/>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课程名称</w:t>
            </w:r>
          </w:p>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（课时）</w:t>
            </w:r>
          </w:p>
        </w:tc>
        <w:tc>
          <w:tcPr>
            <w:tcW w:w="3825" w:type="dxa"/>
            <w:tcBorders>
              <w:top w:val="single" w:color="auto" w:sz="12" w:space="0"/>
              <w:bottom w:val="single" w:color="auto" w:sz="6" w:space="0"/>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主要教学内容</w:t>
            </w:r>
          </w:p>
        </w:tc>
        <w:tc>
          <w:tcPr>
            <w:tcW w:w="4243" w:type="dxa"/>
            <w:tcBorders>
              <w:top w:val="single" w:color="auto" w:sz="12" w:space="0"/>
              <w:bottom w:val="single" w:color="auto" w:sz="6" w:space="0"/>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目标要求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65" w:type="dxa"/>
            <w:tcBorders>
              <w:top w:val="single" w:color="auto" w:sz="6" w:space="0"/>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1</w:t>
            </w:r>
          </w:p>
        </w:tc>
        <w:tc>
          <w:tcPr>
            <w:tcW w:w="1065" w:type="dxa"/>
            <w:tcBorders>
              <w:top w:val="single" w:color="auto" w:sz="6" w:space="0"/>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素描</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（132）</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p>
        </w:tc>
        <w:tc>
          <w:tcPr>
            <w:tcW w:w="3825" w:type="dxa"/>
            <w:tcBorders>
              <w:top w:val="single" w:color="auto" w:sz="6" w:space="0"/>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掌握素描绘画线条、形体透视关系、几何体结构表现；掌握石膏几何体、静物、衬布等基本结构构造；掌握素描的表现规律、形式、特点；掌握人物动态、骨骼的表现技法；掌握常见的各种构图表现技法口基本的审美能力、观察能力、表现能力、造型能力、构图能力、画面控制能力。</w:t>
            </w:r>
          </w:p>
        </w:tc>
        <w:tc>
          <w:tcPr>
            <w:tcW w:w="4243" w:type="dxa"/>
            <w:tcBorders>
              <w:top w:val="single" w:color="auto" w:sz="6" w:space="0"/>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了解素描构图、比例、结构、透视、体积等理论与技法基础知识,掌握一定的造型基础能力,具备基本的艺术修养与艺术鉴别素质，适应艺术设计基础技能岗位需求。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65" w:type="dxa"/>
            <w:tcBorders>
              <w:top w:val="single" w:color="auto" w:sz="6" w:space="0"/>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w:t>
            </w:r>
          </w:p>
        </w:tc>
        <w:tc>
          <w:tcPr>
            <w:tcW w:w="1065" w:type="dxa"/>
            <w:tcBorders>
              <w:top w:val="single" w:color="auto" w:sz="6" w:space="0"/>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色彩</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（136）</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p>
        </w:tc>
        <w:tc>
          <w:tcPr>
            <w:tcW w:w="3825" w:type="dxa"/>
            <w:tcBorders>
              <w:top w:val="single" w:color="auto" w:sz="6" w:space="0"/>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通过以写生为主的色彩技能训练为起点，使学生能以科学的观察方法着力体会色彩的情感品格，熟悉色彩艺术的审美法则，建立时代性的现代色彩观念，从而提高学生的色彩造型表达能力和审美判断能力。</w:t>
            </w:r>
          </w:p>
        </w:tc>
        <w:tc>
          <w:tcPr>
            <w:tcW w:w="4243" w:type="dxa"/>
            <w:tcBorders>
              <w:top w:val="single" w:color="auto" w:sz="6" w:space="0"/>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了解色彩色相、明度、纯度、冷暖、色调、色彩的情感、色彩的搭配等理论与技法基础知识,掌握一定的色彩表现和搭配能力,具备基本的艺术修养与艺术鉴别素质，适应艺术设计基础技能岗位需求。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65" w:type="dxa"/>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3</w:t>
            </w:r>
          </w:p>
        </w:tc>
        <w:tc>
          <w:tcPr>
            <w:tcW w:w="1065" w:type="dxa"/>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速写</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（66）</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p>
        </w:tc>
        <w:tc>
          <w:tcPr>
            <w:tcW w:w="3825" w:type="dxa"/>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掌握速写的基本理念和技能，养成正确的观察方式；能够熟练运用各种概括分析的造型方法，培养敏锐的观察能力和熱练的造型能力；能够表现风景、花卉和人体基本透视、场景空间透视，初步具备主动处理画面的能力。</w:t>
            </w:r>
          </w:p>
        </w:tc>
        <w:tc>
          <w:tcPr>
            <w:tcW w:w="4243" w:type="dxa"/>
            <w:vAlign w:val="center"/>
          </w:tcPr>
          <w:p>
            <w:pPr>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了解速写形体、结构、空间等理论与技法基础知识，掌握一定的速写造型能力，具备艺术感知与综合提炼素质，适应艺术设计快速表现技能岗位需求。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65" w:type="dxa"/>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4</w:t>
            </w:r>
          </w:p>
        </w:tc>
        <w:tc>
          <w:tcPr>
            <w:tcW w:w="1065" w:type="dxa"/>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软件基础（85）</w:t>
            </w:r>
          </w:p>
        </w:tc>
        <w:tc>
          <w:tcPr>
            <w:tcW w:w="3825" w:type="dxa"/>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PHOTOSHOP模块，掌握PS图形处理技能。</w:t>
            </w:r>
          </w:p>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AI模块，掌握矢量图形制作、排版输出。</w:t>
            </w:r>
          </w:p>
        </w:tc>
        <w:tc>
          <w:tcPr>
            <w:tcW w:w="4243" w:type="dxa"/>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了解设计软件基础知识，掌握设计软件的操作能力，具备综合运用素质，适应艺术设计软件操作技能岗位需求。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65" w:type="dxa"/>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5</w:t>
            </w:r>
          </w:p>
        </w:tc>
        <w:tc>
          <w:tcPr>
            <w:tcW w:w="1065" w:type="dxa"/>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设计史论（17）</w:t>
            </w:r>
          </w:p>
        </w:tc>
        <w:tc>
          <w:tcPr>
            <w:tcW w:w="3825" w:type="dxa"/>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设计本质论、设计的起源和门类论、设计的功能和设计教育及发展论、鉴赏和批评、实用艺术、造型艺术等。通过学习理论、鉴赏作品、参加实践，发展形象思维，培养创新精神和实践能力。</w:t>
            </w:r>
          </w:p>
        </w:tc>
        <w:tc>
          <w:tcPr>
            <w:tcW w:w="4243" w:type="dxa"/>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了解艺术设计领域的历史和发展状况以及设计风格的演变，掌握设计思想和设计实践理论能力，具备正确审美观素质，适应艺术设计综合技能岗位需求。</w:t>
            </w:r>
          </w:p>
        </w:tc>
      </w:tr>
    </w:tbl>
    <w:p>
      <w:pPr>
        <w:widowControl/>
        <w:ind w:left="-210" w:leftChars="-100" w:firstLine="422" w:firstLineChars="200"/>
        <w:rPr>
          <w:rFonts w:ascii="仿宋" w:hAnsi="仿宋" w:eastAsia="仿宋" w:cs="仿宋"/>
          <w:b/>
          <w:bCs/>
          <w:color w:val="000000" w:themeColor="text1"/>
          <w:szCs w:val="21"/>
          <w14:textFill>
            <w14:solidFill>
              <w14:schemeClr w14:val="tx1"/>
            </w14:solidFill>
          </w14:textFill>
        </w:rPr>
      </w:pPr>
    </w:p>
    <w:p>
      <w:pPr>
        <w:widowControl/>
        <w:ind w:left="-210" w:leftChars="-100" w:firstLine="422" w:firstLineChars="200"/>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（三）主要专业核心课程教学内容及目标要求</w:t>
      </w:r>
    </w:p>
    <w:tbl>
      <w:tblPr>
        <w:tblStyle w:val="11"/>
        <w:tblW w:w="9883" w:type="dxa"/>
        <w:tblInd w:w="-59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0"/>
        <w:gridCol w:w="1223"/>
        <w:gridCol w:w="3870"/>
        <w:gridCol w:w="40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80" w:type="dxa"/>
            <w:tcBorders>
              <w:top w:val="single" w:color="auto" w:sz="12" w:space="0"/>
              <w:bottom w:val="single" w:color="auto" w:sz="6" w:space="0"/>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序号</w:t>
            </w:r>
          </w:p>
        </w:tc>
        <w:tc>
          <w:tcPr>
            <w:tcW w:w="1223" w:type="dxa"/>
            <w:tcBorders>
              <w:top w:val="single" w:color="auto" w:sz="12" w:space="0"/>
              <w:bottom w:val="single" w:color="auto" w:sz="6" w:space="0"/>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课程名称</w:t>
            </w:r>
          </w:p>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（课时）</w:t>
            </w:r>
          </w:p>
        </w:tc>
        <w:tc>
          <w:tcPr>
            <w:tcW w:w="3870" w:type="dxa"/>
            <w:tcBorders>
              <w:top w:val="single" w:color="auto" w:sz="12" w:space="0"/>
              <w:bottom w:val="single" w:color="auto" w:sz="6" w:space="0"/>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主要教学内容</w:t>
            </w:r>
          </w:p>
        </w:tc>
        <w:tc>
          <w:tcPr>
            <w:tcW w:w="4010" w:type="dxa"/>
            <w:tcBorders>
              <w:top w:val="single" w:color="auto" w:sz="12" w:space="0"/>
              <w:bottom w:val="single" w:color="auto" w:sz="6" w:space="0"/>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目标要求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80" w:type="dxa"/>
            <w:tcBorders>
              <w:top w:val="single" w:color="auto" w:sz="6" w:space="0"/>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1</w:t>
            </w:r>
          </w:p>
        </w:tc>
        <w:tc>
          <w:tcPr>
            <w:tcW w:w="1223" w:type="dxa"/>
            <w:tcBorders>
              <w:top w:val="single" w:color="auto" w:sz="6" w:space="0"/>
            </w:tcBorders>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设计思维</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（34）</w:t>
            </w:r>
          </w:p>
        </w:tc>
        <w:tc>
          <w:tcPr>
            <w:tcW w:w="3870" w:type="dxa"/>
            <w:tcBorders>
              <w:top w:val="single" w:color="auto" w:sz="6" w:space="0"/>
            </w:tcBorders>
            <w:vAlign w:val="center"/>
          </w:tcPr>
          <w:p>
            <w:pPr>
              <w:pStyle w:val="18"/>
              <w:spacing w:line="24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培养设计观念，创造多元的构形设计方法，掌握各类思维导图，以创造性的思维模式寻求审美的现代性。</w:t>
            </w:r>
          </w:p>
        </w:tc>
        <w:tc>
          <w:tcPr>
            <w:tcW w:w="4010" w:type="dxa"/>
            <w:tcBorders>
              <w:top w:val="single" w:color="auto" w:sz="6" w:space="0"/>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了解设计思维的原理，掌握设计思维创意规律的表现能力，具备创意思维素质，适应艺术设计创新创意技能岗位需求。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80" w:type="dxa"/>
            <w:tcBorders>
              <w:top w:val="single" w:color="auto" w:sz="6" w:space="0"/>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w:t>
            </w:r>
          </w:p>
        </w:tc>
        <w:tc>
          <w:tcPr>
            <w:tcW w:w="1223" w:type="dxa"/>
            <w:tcBorders>
              <w:top w:val="single" w:color="auto" w:sz="6" w:space="0"/>
            </w:tcBorders>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设计构成</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（34）</w:t>
            </w:r>
          </w:p>
        </w:tc>
        <w:tc>
          <w:tcPr>
            <w:tcW w:w="3870" w:type="dxa"/>
            <w:tcBorders>
              <w:top w:val="single" w:color="auto" w:sz="6" w:space="0"/>
            </w:tcBorders>
            <w:vAlign w:val="center"/>
          </w:tcPr>
          <w:p>
            <w:pPr>
              <w:pStyle w:val="2"/>
              <w:spacing w:before="0" w:beforeAutospacing="0" w:after="0" w:afterAutospacing="0"/>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 xml:space="preserve">    </w:t>
            </w:r>
            <w:r>
              <w:rPr>
                <w:rFonts w:hint="eastAsia" w:ascii="仿宋" w:hAnsi="仿宋" w:eastAsia="仿宋" w:cs="仿宋"/>
                <w:bCs/>
                <w:color w:val="000000" w:themeColor="text1"/>
                <w:sz w:val="21"/>
                <w:szCs w:val="21"/>
                <w14:textFill>
                  <w14:solidFill>
                    <w14:schemeClr w14:val="tx1"/>
                  </w14:solidFill>
                </w14:textFill>
              </w:rPr>
              <w:t>了解</w:t>
            </w:r>
            <w:r>
              <w:rPr>
                <w:rFonts w:hint="eastAsia" w:ascii="仿宋" w:hAnsi="仿宋" w:eastAsia="仿宋" w:cs="仿宋"/>
                <w:color w:val="000000" w:themeColor="text1"/>
                <w:sz w:val="21"/>
                <w:szCs w:val="21"/>
                <w14:textFill>
                  <w14:solidFill>
                    <w14:schemeClr w14:val="tx1"/>
                  </w14:solidFill>
                </w14:textFill>
              </w:rPr>
              <w:t>构成的概念和简要历史，理解“美”是构成作品的核心要求；掌握形式美法则。</w:t>
            </w:r>
            <w:r>
              <w:rPr>
                <w:rFonts w:hint="eastAsia" w:ascii="仿宋" w:hAnsi="仿宋" w:eastAsia="仿宋" w:cs="仿宋"/>
                <w:bCs/>
                <w:color w:val="000000" w:themeColor="text1"/>
                <w:sz w:val="21"/>
                <w:szCs w:val="21"/>
                <w14:textFill>
                  <w14:solidFill>
                    <w14:schemeClr w14:val="tx1"/>
                  </w14:solidFill>
                </w14:textFill>
              </w:rPr>
              <w:t>掌握</w:t>
            </w:r>
            <w:r>
              <w:rPr>
                <w:rFonts w:hint="eastAsia" w:ascii="仿宋" w:hAnsi="仿宋" w:eastAsia="仿宋" w:cs="仿宋"/>
                <w:color w:val="000000" w:themeColor="text1"/>
                <w:sz w:val="21"/>
                <w:szCs w:val="21"/>
                <w14:textFill>
                  <w14:solidFill>
                    <w14:schemeClr w14:val="tx1"/>
                  </w14:solidFill>
                </w14:textFill>
              </w:rPr>
              <w:t>平面构成的内容和目的；</w:t>
            </w:r>
            <w:r>
              <w:rPr>
                <w:rFonts w:hint="eastAsia" w:ascii="仿宋" w:hAnsi="仿宋" w:eastAsia="仿宋" w:cs="仿宋"/>
                <w:bCs/>
                <w:color w:val="000000" w:themeColor="text1"/>
                <w:sz w:val="21"/>
                <w:szCs w:val="21"/>
                <w14:textFill>
                  <w14:solidFill>
                    <w14:schemeClr w14:val="tx1"/>
                  </w14:solidFill>
                </w14:textFill>
              </w:rPr>
              <w:t>点、线、面等构成要素的性质及构成基本形式，并能够运用构成理论进行一定的创作。</w:t>
            </w:r>
            <w:r>
              <w:rPr>
                <w:rFonts w:hint="eastAsia" w:ascii="仿宋" w:hAnsi="仿宋" w:eastAsia="仿宋" w:cs="仿宋"/>
                <w:color w:val="000000" w:themeColor="text1"/>
                <w:sz w:val="21"/>
                <w:szCs w:val="21"/>
                <w14:textFill>
                  <w14:solidFill>
                    <w14:schemeClr w14:val="tx1"/>
                  </w14:solidFill>
                </w14:textFill>
              </w:rPr>
              <w:t>通过一定数量的立体构成设计练习，掌握立体构成设计的基本技能，并在练习的基础上掌握形式美的基本法则，掌握立体构成的各种基本表现手法。</w:t>
            </w:r>
          </w:p>
        </w:tc>
        <w:tc>
          <w:tcPr>
            <w:tcW w:w="4010" w:type="dxa"/>
            <w:tcBorders>
              <w:top w:val="single" w:color="auto" w:sz="6" w:space="0"/>
            </w:tcBorders>
            <w:vAlign w:val="center"/>
          </w:tcPr>
          <w:p>
            <w:pPr>
              <w:pStyle w:val="2"/>
              <w:tabs>
                <w:tab w:val="left" w:pos="207"/>
                <w:tab w:val="left" w:pos="462"/>
              </w:tabs>
              <w:spacing w:before="0" w:beforeAutospacing="0" w:after="0" w:afterAutospacing="0"/>
              <w:ind w:firstLine="420" w:firstLineChars="200"/>
              <w:jc w:val="both"/>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了解构成点、线、面等理论与技法基础知识，掌握设计中构成实践运用能力，具备创造性思维素质，适应艺术设计构成技能岗位需求。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80" w:type="dxa"/>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3</w:t>
            </w:r>
          </w:p>
        </w:tc>
        <w:tc>
          <w:tcPr>
            <w:tcW w:w="1223" w:type="dxa"/>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设计图形</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（17）</w:t>
            </w:r>
          </w:p>
        </w:tc>
        <w:tc>
          <w:tcPr>
            <w:tcW w:w="3870" w:type="dxa"/>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掌握图形语言的语汇、语法及图形设计方法和原理。</w:t>
            </w:r>
          </w:p>
        </w:tc>
        <w:tc>
          <w:tcPr>
            <w:tcW w:w="4010" w:type="dxa"/>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了解图形设计的基本理论知识，掌握图形设计的能力，具备图形创意设计与表达素质，适应艺术设计图形创新技能岗位需求。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80" w:type="dxa"/>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4</w:t>
            </w:r>
          </w:p>
        </w:tc>
        <w:tc>
          <w:tcPr>
            <w:tcW w:w="1223" w:type="dxa"/>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设计管理</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（51）</w:t>
            </w:r>
          </w:p>
        </w:tc>
        <w:tc>
          <w:tcPr>
            <w:tcW w:w="3870" w:type="dxa"/>
            <w:vAlign w:val="center"/>
          </w:tcPr>
          <w:p>
            <w:pPr>
              <w:pStyle w:val="2"/>
              <w:spacing w:before="0" w:beforeAutospacing="0" w:after="0" w:afterAutospacing="0"/>
              <w:ind w:firstLine="420" w:firstLineChars="200"/>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设计、管理、设计管理；设计管理与设计创新；设计战略；形象设计管理；高效能设计团队；设计项目管理；设计法规和设计合同管理；设计创新风险管理；设计知识管理。</w:t>
            </w:r>
            <w:r>
              <w:rPr>
                <w:rFonts w:hint="eastAsia" w:ascii="仿宋" w:hAnsi="仿宋" w:eastAsia="仿宋" w:cs="仿宋"/>
                <w:color w:val="000000" w:themeColor="text1"/>
                <w:kern w:val="2"/>
                <w:sz w:val="21"/>
                <w:szCs w:val="21"/>
                <w14:textFill>
                  <w14:solidFill>
                    <w14:schemeClr w14:val="tx1"/>
                  </w14:solidFill>
                </w14:textFill>
              </w:rPr>
              <w:t xml:space="preserve"> </w:t>
            </w:r>
          </w:p>
        </w:tc>
        <w:tc>
          <w:tcPr>
            <w:tcW w:w="4010" w:type="dxa"/>
            <w:vAlign w:val="center"/>
          </w:tcPr>
          <w:p>
            <w:pPr>
              <w:pStyle w:val="2"/>
              <w:tabs>
                <w:tab w:val="left" w:pos="207"/>
                <w:tab w:val="left" w:pos="462"/>
              </w:tabs>
              <w:spacing w:before="0" w:beforeAutospacing="0" w:after="0" w:afterAutospacing="0"/>
              <w:ind w:firstLine="420" w:firstLineChars="200"/>
              <w:jc w:val="both"/>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了解设计管理的基本概念，掌握设计计划，设计组织，设计监督，设计控制等能力，具备设计流程全程明晰素质，适应艺术设计综合技能岗位需求。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80" w:type="dxa"/>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5</w:t>
            </w:r>
          </w:p>
        </w:tc>
        <w:tc>
          <w:tcPr>
            <w:tcW w:w="1223" w:type="dxa"/>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设计表现</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（170）</w:t>
            </w:r>
          </w:p>
        </w:tc>
        <w:tc>
          <w:tcPr>
            <w:tcW w:w="3870" w:type="dxa"/>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掌握手工绘图的技法与流程，掌握数字绘图工具绘制草图的技法，完成项目方案的制作。</w:t>
            </w:r>
          </w:p>
        </w:tc>
        <w:tc>
          <w:tcPr>
            <w:tcW w:w="4010" w:type="dxa"/>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了解在设计实践中常用的绘图表现方法，掌握技法表现能力，具备多元化设计表现素质，适应艺术设计创新技能岗位需求。</w:t>
            </w:r>
          </w:p>
        </w:tc>
      </w:tr>
    </w:tbl>
    <w:p>
      <w:pPr>
        <w:widowControl/>
        <w:rPr>
          <w:rFonts w:ascii="仿宋" w:hAnsi="仿宋" w:eastAsia="仿宋" w:cs="仿宋"/>
          <w:b/>
          <w:bCs/>
          <w:color w:val="000000" w:themeColor="text1"/>
          <w:szCs w:val="21"/>
          <w14:textFill>
            <w14:solidFill>
              <w14:schemeClr w14:val="tx1"/>
            </w14:solidFill>
          </w14:textFill>
        </w:rPr>
      </w:pPr>
    </w:p>
    <w:p>
      <w:pPr>
        <w:widowControl/>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（四）主要专业技能实训课程教学内容及目标要求</w:t>
      </w:r>
    </w:p>
    <w:tbl>
      <w:tblPr>
        <w:tblStyle w:val="11"/>
        <w:tblW w:w="9883" w:type="dxa"/>
        <w:tblInd w:w="-59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1"/>
        <w:gridCol w:w="1564"/>
        <w:gridCol w:w="3871"/>
        <w:gridCol w:w="38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1" w:type="dxa"/>
            <w:tcBorders>
              <w:top w:val="single" w:color="auto" w:sz="12" w:space="0"/>
              <w:bottom w:val="single" w:color="auto" w:sz="6" w:space="0"/>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序号</w:t>
            </w:r>
          </w:p>
        </w:tc>
        <w:tc>
          <w:tcPr>
            <w:tcW w:w="1564" w:type="dxa"/>
            <w:tcBorders>
              <w:top w:val="single" w:color="auto" w:sz="12" w:space="0"/>
              <w:bottom w:val="single" w:color="auto" w:sz="6" w:space="0"/>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课程名称</w:t>
            </w:r>
          </w:p>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（课时）</w:t>
            </w:r>
          </w:p>
        </w:tc>
        <w:tc>
          <w:tcPr>
            <w:tcW w:w="3871" w:type="dxa"/>
            <w:tcBorders>
              <w:top w:val="single" w:color="auto" w:sz="12" w:space="0"/>
              <w:bottom w:val="single" w:color="auto" w:sz="6" w:space="0"/>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主要教学内容</w:t>
            </w:r>
          </w:p>
        </w:tc>
        <w:tc>
          <w:tcPr>
            <w:tcW w:w="3897" w:type="dxa"/>
            <w:tcBorders>
              <w:top w:val="single" w:color="auto" w:sz="12" w:space="0"/>
              <w:bottom w:val="single" w:color="auto" w:sz="6" w:space="0"/>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目标要求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1" w:type="dxa"/>
            <w:tcBorders>
              <w:top w:val="single" w:color="auto" w:sz="6" w:space="0"/>
            </w:tcBorders>
            <w:vAlign w:val="center"/>
          </w:tcPr>
          <w:p>
            <w:pPr>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1</w:t>
            </w:r>
          </w:p>
        </w:tc>
        <w:tc>
          <w:tcPr>
            <w:tcW w:w="1564" w:type="dxa"/>
            <w:tcBorders>
              <w:top w:val="single" w:color="auto" w:sz="6"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企业认知</w:t>
            </w:r>
          </w:p>
          <w:p>
            <w:pPr>
              <w:spacing w:line="240" w:lineRule="atLeast"/>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（1天/8学时）</w:t>
            </w:r>
          </w:p>
        </w:tc>
        <w:tc>
          <w:tcPr>
            <w:tcW w:w="3871" w:type="dxa"/>
            <w:tcBorders>
              <w:top w:val="single" w:color="auto" w:sz="6" w:space="0"/>
            </w:tcBorders>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选择校企合作企业，参观企业生产经营活动现场，观察艺术设计相关产品开发、生产、传播业务流程。</w:t>
            </w:r>
          </w:p>
        </w:tc>
        <w:tc>
          <w:tcPr>
            <w:tcW w:w="3897" w:type="dxa"/>
            <w:tcBorders>
              <w:top w:val="single" w:color="auto" w:sz="6" w:space="0"/>
            </w:tcBorders>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通过参观，让学生对艺术设计产品开发、生产、传播有基本感性认知，为学习专业基础课程做好专业感性基础。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1" w:type="dxa"/>
            <w:tcBorders>
              <w:top w:val="single" w:color="auto" w:sz="6" w:space="0"/>
            </w:tcBorders>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w:t>
            </w:r>
          </w:p>
        </w:tc>
        <w:tc>
          <w:tcPr>
            <w:tcW w:w="1564" w:type="dxa"/>
            <w:tcBorders>
              <w:top w:val="single" w:color="auto" w:sz="6" w:space="0"/>
            </w:tcBorders>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素描课程</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    训</w:t>
            </w:r>
          </w:p>
          <w:p>
            <w:pPr>
              <w:spacing w:line="400" w:lineRule="exact"/>
              <w:ind w:left="210" w:hanging="210" w:hangingChars="100"/>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（1W/30学时）</w:t>
            </w:r>
          </w:p>
        </w:tc>
        <w:tc>
          <w:tcPr>
            <w:tcW w:w="3871" w:type="dxa"/>
            <w:tcBorders>
              <w:top w:val="single" w:color="auto" w:sz="6" w:space="0"/>
            </w:tcBorders>
            <w:vAlign w:val="center"/>
          </w:tcPr>
          <w:p>
            <w:pPr>
              <w:adjustRightIn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了解素描的基本理论、观察方法、工具材料；掌握铅笔的使用与练习排线；几何形体临摹练习；静物临摹练习；结构素描的空间表现练习：组合物体写生、石膏五官写生。</w:t>
            </w:r>
          </w:p>
        </w:tc>
        <w:tc>
          <w:tcPr>
            <w:tcW w:w="3897" w:type="dxa"/>
            <w:tcBorders>
              <w:top w:val="single" w:color="auto" w:sz="6" w:space="0"/>
            </w:tcBorders>
            <w:vAlign w:val="center"/>
          </w:tcPr>
          <w:p>
            <w:pPr>
              <w:adjustRightIn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要求学生学习和掌握基本的造型能力、构图能力、色彩处理能力、审美能力，使学生形成独立的审美意识。树立正确的绘画与造型、艺术审美能力，具备基本的艺术修养与艺术鉴别能力，培养高素质的合格的技能型人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1" w:type="dxa"/>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3</w:t>
            </w:r>
          </w:p>
        </w:tc>
        <w:tc>
          <w:tcPr>
            <w:tcW w:w="1564" w:type="dxa"/>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速写课程</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    训</w:t>
            </w:r>
          </w:p>
          <w:p>
            <w:pPr>
              <w:spacing w:line="400" w:lineRule="exact"/>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（1W/30学时）</w:t>
            </w:r>
          </w:p>
        </w:tc>
        <w:tc>
          <w:tcPr>
            <w:tcW w:w="3871" w:type="dxa"/>
            <w:vAlign w:val="center"/>
          </w:tcPr>
          <w:p>
            <w:pPr>
              <w:adjustRightIn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造型的基本语言训练；人体结构与运动人体临摹；动物结构与运动造型临摹；场景造型训练。</w:t>
            </w:r>
          </w:p>
        </w:tc>
        <w:tc>
          <w:tcPr>
            <w:tcW w:w="3897" w:type="dxa"/>
            <w:vAlign w:val="center"/>
          </w:tcPr>
          <w:p>
            <w:pPr>
              <w:adjustRightIn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此课程涵盖了创意设计训练等基础应用知识，要求学生掌握基本的造型规律和造型方法。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1" w:type="dxa"/>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4</w:t>
            </w:r>
          </w:p>
        </w:tc>
        <w:tc>
          <w:tcPr>
            <w:tcW w:w="1564" w:type="dxa"/>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设计软件</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综合实训</w:t>
            </w:r>
          </w:p>
          <w:p>
            <w:pPr>
              <w:spacing w:line="400" w:lineRule="exact"/>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（1W/30学时）</w:t>
            </w:r>
          </w:p>
        </w:tc>
        <w:tc>
          <w:tcPr>
            <w:tcW w:w="3871" w:type="dxa"/>
            <w:vAlign w:val="center"/>
          </w:tcPr>
          <w:p>
            <w:pPr>
              <w:adjustRightInd w:val="0"/>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软件基础工具应用；图像选区操作训练；修饰与调色训练；路层管理应用操作；文字、路径与形状工具应用；通道与蒙版的应用；滤镜的应用；特效设计制作。</w:t>
            </w:r>
          </w:p>
        </w:tc>
        <w:tc>
          <w:tcPr>
            <w:tcW w:w="3897" w:type="dxa"/>
            <w:vAlign w:val="center"/>
          </w:tcPr>
          <w:p>
            <w:pPr>
              <w:adjustRightInd w:val="0"/>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本课程以项目案例为驱动，通过对案例的分析与模仿制作，让学生学习掌握设计软件从基础应用到作品设计制作方法。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1" w:type="dxa"/>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5</w:t>
            </w:r>
          </w:p>
        </w:tc>
        <w:tc>
          <w:tcPr>
            <w:tcW w:w="1564" w:type="dxa"/>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设计表现</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综合实训</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（2W/60学时）</w:t>
            </w:r>
          </w:p>
        </w:tc>
        <w:tc>
          <w:tcPr>
            <w:tcW w:w="3871" w:type="dxa"/>
            <w:vAlign w:val="center"/>
          </w:tcPr>
          <w:p>
            <w:pPr>
              <w:adjustRightInd w:val="0"/>
              <w:snapToGrid w:val="0"/>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设计草图训练；手绘视觉表现工具训练；数字视觉表现练习。</w:t>
            </w:r>
          </w:p>
        </w:tc>
        <w:tc>
          <w:tcPr>
            <w:tcW w:w="3897" w:type="dxa"/>
            <w:vAlign w:val="center"/>
          </w:tcPr>
          <w:p>
            <w:pPr>
              <w:adjustRightInd w:val="0"/>
              <w:snapToGrid w:val="0"/>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要求学生能够把自己的构思完整、完美的表达出来，正确掌握各类表现效果的全过程。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1" w:type="dxa"/>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6</w:t>
            </w:r>
          </w:p>
        </w:tc>
        <w:tc>
          <w:tcPr>
            <w:tcW w:w="1564" w:type="dxa"/>
            <w:vAlign w:val="center"/>
          </w:tcPr>
          <w:p>
            <w:pPr>
              <w:spacing w:line="400" w:lineRule="exact"/>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 xml:space="preserve"> </w:t>
            </w:r>
            <w:r>
              <w:rPr>
                <w:rFonts w:hint="eastAsia" w:ascii="仿宋" w:hAnsi="仿宋" w:eastAsia="仿宋" w:cs="仿宋"/>
                <w:color w:val="000000" w:themeColor="text1"/>
                <w:szCs w:val="21"/>
                <w:highlight w:val="none"/>
                <w14:textFill>
                  <w14:solidFill>
                    <w14:schemeClr w14:val="tx1"/>
                  </w14:solidFill>
                </w14:textFill>
              </w:rPr>
              <w:t>方向课程</w:t>
            </w:r>
          </w:p>
          <w:p>
            <w:pPr>
              <w:spacing w:line="400" w:lineRule="exact"/>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 综合实训</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（6W/180学时）</w:t>
            </w:r>
          </w:p>
        </w:tc>
        <w:tc>
          <w:tcPr>
            <w:tcW w:w="3871" w:type="dxa"/>
            <w:vAlign w:val="center"/>
          </w:tcPr>
          <w:p>
            <w:pPr>
              <w:adjustRightInd w:val="0"/>
              <w:snapToGrid w:val="0"/>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艺术设计基本流程练习；团队协作训练；设计综合能力训练。</w:t>
            </w:r>
          </w:p>
        </w:tc>
        <w:tc>
          <w:tcPr>
            <w:tcW w:w="3897" w:type="dxa"/>
            <w:vAlign w:val="center"/>
          </w:tcPr>
          <w:p>
            <w:pPr>
              <w:adjustRightInd w:val="0"/>
              <w:snapToGrid w:val="0"/>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对接市场实际项目，要求学生按照企业设计工作岗位能力完成实训，培养职业综合素养。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1" w:type="dxa"/>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7</w:t>
            </w:r>
          </w:p>
        </w:tc>
        <w:tc>
          <w:tcPr>
            <w:tcW w:w="1564" w:type="dxa"/>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毕业设计（4W/120学时）</w:t>
            </w:r>
          </w:p>
        </w:tc>
        <w:tc>
          <w:tcPr>
            <w:tcW w:w="3871" w:type="dxa"/>
            <w:vAlign w:val="center"/>
          </w:tcPr>
          <w:p>
            <w:pPr>
              <w:adjustRightInd w:val="0"/>
              <w:ind w:firstLine="420" w:firstLineChars="200"/>
              <w:jc w:val="left"/>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毕业设计主要由毕业设计作品和毕业论文两部分构成。毕业设计作品主要为实物作品，内容主要是艺术设计专业在文创设计领域的应用开发；毕业论文具体可包括毕业设计的课题分析、毕业设计题材的调研和分析、毕业设计提案、制作过程、作品的独特性、延展性分析。</w:t>
            </w:r>
          </w:p>
        </w:tc>
        <w:tc>
          <w:tcPr>
            <w:tcW w:w="3897" w:type="dxa"/>
          </w:tcPr>
          <w:p>
            <w:pPr>
              <w:adjustRightInd w:val="0"/>
              <w:ind w:firstLine="420" w:firstLineChars="200"/>
              <w:jc w:val="left"/>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毕业设计必须由毕业生本人在指导教师的指导下按要求完成，指导老师必须具备专业设计指导能力。毕业设计的作品应遵守国家有关法律、法规的规定，符合民族文化传统、公共道德价值、行业规范，作品要求具有独创性、表现力，严禁弄虚作假、抄袭等不良行为。毕业设计论文要与所学专业课程密切联系，要符合一般学术论文的写作规范，应结构合理，文字流畅，表达准确，层次清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1" w:type="dxa"/>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8</w:t>
            </w:r>
          </w:p>
        </w:tc>
        <w:tc>
          <w:tcPr>
            <w:tcW w:w="1564" w:type="dxa"/>
            <w:vAlign w:val="center"/>
          </w:tcPr>
          <w:p>
            <w:pPr>
              <w:widowControl/>
              <w:spacing w:line="36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顶岗实习</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（1学期/420学时）</w:t>
            </w:r>
          </w:p>
        </w:tc>
        <w:tc>
          <w:tcPr>
            <w:tcW w:w="3871" w:type="dxa"/>
            <w:vAlign w:val="center"/>
          </w:tcPr>
          <w:p>
            <w:pPr>
              <w:widowControl/>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到相关公司单位的艺术设计工作岗位直接参与设计工作，综合运用本专业所学的知识和技能，以完成一定的工作任务，获得艺术设计岗位工作责任、专业能力、工作能力锻炼。</w:t>
            </w:r>
          </w:p>
        </w:tc>
        <w:tc>
          <w:tcPr>
            <w:tcW w:w="3897" w:type="dxa"/>
          </w:tcPr>
          <w:p>
            <w:pPr>
              <w:widowControl/>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通过训练，让学生体验艺术设计工作岗位职责、要求和团队精神、单位文化，提升艺术设计职业素养，增强专业应用能力、专业操作能力和岗位适应能力。</w:t>
            </w:r>
          </w:p>
        </w:tc>
      </w:tr>
    </w:tbl>
    <w:p>
      <w:pPr>
        <w:spacing w:line="400" w:lineRule="exact"/>
        <w:rPr>
          <w:rFonts w:asciiTheme="majorEastAsia" w:hAnsiTheme="majorEastAsia" w:eastAsiaTheme="majorEastAsia" w:cstheme="majorEastAsia"/>
          <w:b/>
          <w:color w:val="000000" w:themeColor="text1"/>
          <w:szCs w:val="21"/>
          <w14:textFill>
            <w14:solidFill>
              <w14:schemeClr w14:val="tx1"/>
            </w14:solidFill>
          </w14:textFill>
        </w:rPr>
      </w:pPr>
    </w:p>
    <w:p>
      <w:pPr>
        <w:numPr>
          <w:ilvl w:val="0"/>
          <w:numId w:val="1"/>
        </w:numPr>
        <w:spacing w:line="440" w:lineRule="exact"/>
        <w:ind w:firstLine="422" w:firstLineChars="200"/>
        <w:rPr>
          <w:rFonts w:ascii="黑体" w:hAnsi="黑体" w:eastAsia="黑体" w:cs="黑体"/>
          <w:color w:val="000000" w:themeColor="text1"/>
          <w:szCs w:val="21"/>
          <w14:textFill>
            <w14:solidFill>
              <w14:schemeClr w14:val="tx1"/>
            </w14:solidFill>
          </w14:textFill>
        </w:rPr>
      </w:pPr>
      <w:r>
        <w:rPr>
          <w:rFonts w:hint="eastAsia" w:asciiTheme="majorEastAsia" w:hAnsiTheme="majorEastAsia" w:eastAsiaTheme="majorEastAsia" w:cstheme="majorEastAsia"/>
          <w:b/>
          <w:color w:val="000000" w:themeColor="text1"/>
          <w:szCs w:val="21"/>
          <w14:textFill>
            <w14:solidFill>
              <w14:schemeClr w14:val="tx1"/>
            </w14:solidFill>
          </w14:textFill>
        </w:rPr>
        <w:t>教学进程总体安排</w:t>
      </w:r>
    </w:p>
    <w:p>
      <w:pPr>
        <w:spacing w:line="460" w:lineRule="exact"/>
        <w:rPr>
          <w:rFonts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（一）教学时间表（按周分配）</w:t>
      </w:r>
    </w:p>
    <w:tbl>
      <w:tblPr>
        <w:tblStyle w:val="11"/>
        <w:tblW w:w="98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5"/>
        <w:gridCol w:w="643"/>
        <w:gridCol w:w="721"/>
        <w:gridCol w:w="567"/>
        <w:gridCol w:w="1685"/>
        <w:gridCol w:w="570"/>
        <w:gridCol w:w="11"/>
        <w:gridCol w:w="930"/>
        <w:gridCol w:w="570"/>
        <w:gridCol w:w="751"/>
        <w:gridCol w:w="735"/>
        <w:gridCol w:w="1002"/>
        <w:gridCol w:w="10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85" w:type="dxa"/>
            <w:vMerge w:val="restart"/>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学</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期</w:t>
            </w:r>
          </w:p>
        </w:tc>
        <w:tc>
          <w:tcPr>
            <w:tcW w:w="643" w:type="dxa"/>
            <w:vMerge w:val="restart"/>
            <w:tcBorders>
              <w:tl2br w:val="nil"/>
              <w:tr2bl w:val="nil"/>
            </w:tcBorders>
            <w:vAlign w:val="center"/>
          </w:tcPr>
          <w:p>
            <w:pPr>
              <w:pStyle w:val="22"/>
              <w:widowControl/>
              <w:spacing w:line="240" w:lineRule="auto"/>
              <w:ind w:left="-130" w:leftChars="-62" w:right="-92" w:rightChars="-44" w:firstLine="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学期</w:t>
            </w:r>
          </w:p>
          <w:p>
            <w:pPr>
              <w:pStyle w:val="22"/>
              <w:widowControl/>
              <w:spacing w:line="240" w:lineRule="auto"/>
              <w:ind w:left="-130" w:leftChars="-62" w:right="-92" w:rightChars="-44" w:firstLine="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1288"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理论教学</w:t>
            </w:r>
          </w:p>
        </w:tc>
        <w:tc>
          <w:tcPr>
            <w:tcW w:w="5252" w:type="dxa"/>
            <w:gridSpan w:val="7"/>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实  践  教  学</w:t>
            </w:r>
          </w:p>
        </w:tc>
        <w:tc>
          <w:tcPr>
            <w:tcW w:w="1002" w:type="dxa"/>
            <w:vMerge w:val="restart"/>
            <w:tcBorders>
              <w:tl2br w:val="nil"/>
              <w:tr2bl w:val="nil"/>
            </w:tcBorders>
            <w:vAlign w:val="center"/>
          </w:tcPr>
          <w:p>
            <w:pPr>
              <w:pStyle w:val="22"/>
              <w:widowControl/>
              <w:spacing w:line="240" w:lineRule="auto"/>
              <w:ind w:left="-94" w:leftChars="-45" w:firstLine="25" w:firstLineChars="1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入学教育</w:t>
            </w:r>
          </w:p>
          <w:p>
            <w:pPr>
              <w:pStyle w:val="22"/>
              <w:widowControl/>
              <w:spacing w:line="240" w:lineRule="auto"/>
              <w:ind w:left="-94" w:leftChars="-45" w:firstLine="25" w:firstLineChars="1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与</w:t>
            </w:r>
          </w:p>
          <w:p>
            <w:pPr>
              <w:pStyle w:val="22"/>
              <w:widowControl/>
              <w:spacing w:line="240" w:lineRule="auto"/>
              <w:ind w:left="-94" w:leftChars="-45" w:firstLine="25" w:firstLineChars="1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军训</w:t>
            </w:r>
          </w:p>
        </w:tc>
        <w:tc>
          <w:tcPr>
            <w:tcW w:w="1048" w:type="dxa"/>
            <w:vMerge w:val="restart"/>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劳动/机</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动</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585"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643"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721" w:type="dxa"/>
            <w:vMerge w:val="restart"/>
            <w:tcBorders>
              <w:tl2br w:val="nil"/>
              <w:tr2bl w:val="nil"/>
            </w:tcBorders>
            <w:vAlign w:val="center"/>
          </w:tcPr>
          <w:p>
            <w:pPr>
              <w:pStyle w:val="22"/>
              <w:widowControl/>
              <w:spacing w:line="240" w:lineRule="auto"/>
              <w:ind w:left="-130" w:leftChars="-62" w:right="-92" w:rightChars="-44" w:firstLine="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授课</w:t>
            </w:r>
          </w:p>
          <w:p>
            <w:pPr>
              <w:pStyle w:val="22"/>
              <w:widowControl/>
              <w:spacing w:line="240" w:lineRule="auto"/>
              <w:ind w:left="-130" w:leftChars="-62" w:right="-92" w:rightChars="-44" w:firstLine="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567" w:type="dxa"/>
            <w:vMerge w:val="restart"/>
            <w:tcBorders>
              <w:tl2br w:val="nil"/>
              <w:tr2bl w:val="nil"/>
            </w:tcBorders>
            <w:vAlign w:val="center"/>
          </w:tcPr>
          <w:p>
            <w:pPr>
              <w:pStyle w:val="22"/>
              <w:widowControl/>
              <w:spacing w:line="240" w:lineRule="auto"/>
              <w:ind w:left="-2" w:leftChars="-1" w:right="-136" w:rightChars="-65"/>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考试周数</w:t>
            </w:r>
          </w:p>
        </w:tc>
        <w:tc>
          <w:tcPr>
            <w:tcW w:w="2266" w:type="dxa"/>
            <w:gridSpan w:val="3"/>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技能训练</w:t>
            </w:r>
          </w:p>
        </w:tc>
        <w:tc>
          <w:tcPr>
            <w:tcW w:w="1500"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课程设计</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毕业设计（论文）</w:t>
            </w:r>
          </w:p>
        </w:tc>
        <w:tc>
          <w:tcPr>
            <w:tcW w:w="1486"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企业见习</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顶岗实习</w:t>
            </w:r>
          </w:p>
        </w:tc>
        <w:tc>
          <w:tcPr>
            <w:tcW w:w="1002"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1048"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585"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643"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721"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567"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内容</w:t>
            </w:r>
          </w:p>
        </w:tc>
        <w:tc>
          <w:tcPr>
            <w:tcW w:w="581" w:type="dxa"/>
            <w:gridSpan w:val="2"/>
            <w:tcBorders>
              <w:tl2br w:val="nil"/>
              <w:tr2bl w:val="nil"/>
            </w:tcBorders>
            <w:vAlign w:val="center"/>
          </w:tcPr>
          <w:p>
            <w:pPr>
              <w:pStyle w:val="22"/>
              <w:widowControl/>
              <w:spacing w:line="240" w:lineRule="auto"/>
              <w:ind w:leftChars="-60" w:right="-158" w:rightChars="-75" w:hanging="126" w:hangingChars="6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93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内容</w:t>
            </w:r>
          </w:p>
        </w:tc>
        <w:tc>
          <w:tcPr>
            <w:tcW w:w="570" w:type="dxa"/>
            <w:tcBorders>
              <w:tl2br w:val="nil"/>
              <w:tr2bl w:val="nil"/>
            </w:tcBorders>
            <w:vAlign w:val="center"/>
          </w:tcPr>
          <w:p>
            <w:pPr>
              <w:pStyle w:val="22"/>
              <w:widowControl/>
              <w:spacing w:line="240" w:lineRule="auto"/>
              <w:ind w:leftChars="-69" w:right="-134" w:rightChars="-64" w:hanging="144" w:hangingChars="69"/>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内容</w:t>
            </w: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1002" w:type="dxa"/>
            <w:tcBorders>
              <w:tl2br w:val="nil"/>
              <w:tr2bl w:val="nil"/>
            </w:tcBorders>
            <w:vAlign w:val="center"/>
          </w:tcPr>
          <w:p>
            <w:pPr>
              <w:pStyle w:val="22"/>
              <w:widowControl/>
              <w:spacing w:line="240" w:lineRule="auto"/>
              <w:ind w:leftChars="-32" w:hanging="67" w:hangingChars="3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1048"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16</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企业认知</w:t>
            </w:r>
          </w:p>
        </w:tc>
        <w:tc>
          <w:tcPr>
            <w:tcW w:w="570" w:type="dxa"/>
            <w:tcBorders>
              <w:tl2br w:val="nil"/>
              <w:tr2bl w:val="nil"/>
            </w:tcBorders>
            <w:vAlign w:val="center"/>
          </w:tcPr>
          <w:p>
            <w:pPr>
              <w:pStyle w:val="22"/>
              <w:widowControl/>
              <w:spacing w:line="240" w:lineRule="auto"/>
              <w:ind w:left="6" w:leftChars="-18" w:right="-132" w:rightChars="-63" w:hanging="44" w:hangingChars="21"/>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8课时</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1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素描课程实训</w:t>
            </w:r>
          </w:p>
        </w:tc>
        <w:tc>
          <w:tcPr>
            <w:tcW w:w="570"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速写课程实训</w:t>
            </w:r>
          </w:p>
        </w:tc>
        <w:tc>
          <w:tcPr>
            <w:tcW w:w="570"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设计软件</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设计表现</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六</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设计表现</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七</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16</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方向课程</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八</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16</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方向课程</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九</w:t>
            </w:r>
          </w:p>
        </w:tc>
        <w:tc>
          <w:tcPr>
            <w:tcW w:w="643"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16</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方向课程</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十</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0</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0</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毕业</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设计</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顶岗</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实习</w:t>
            </w: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14</w:t>
            </w: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2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85" w:type="dxa"/>
            <w:tcBorders>
              <w:tl2br w:val="nil"/>
              <w:tr2bl w:val="nil"/>
            </w:tcBorders>
            <w:vAlign w:val="center"/>
          </w:tcPr>
          <w:p>
            <w:pPr>
              <w:pStyle w:val="22"/>
              <w:widowControl/>
              <w:spacing w:line="240" w:lineRule="auto"/>
              <w:ind w:left="105" w:left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合计</w:t>
            </w:r>
          </w:p>
        </w:tc>
        <w:tc>
          <w:tcPr>
            <w:tcW w:w="643" w:type="dxa"/>
            <w:tcBorders>
              <w:tl2br w:val="nil"/>
              <w:tr2bl w:val="nil"/>
            </w:tcBorders>
            <w:vAlign w:val="center"/>
          </w:tcPr>
          <w:p>
            <w:pPr>
              <w:pStyle w:val="22"/>
              <w:widowControl/>
              <w:spacing w:line="240" w:lineRule="auto"/>
              <w:ind w:left="-164" w:leftChars="-78"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 200</w:t>
            </w:r>
          </w:p>
        </w:tc>
        <w:tc>
          <w:tcPr>
            <w:tcW w:w="721"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149</w:t>
            </w:r>
          </w:p>
        </w:tc>
        <w:tc>
          <w:tcPr>
            <w:tcW w:w="567"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9</w:t>
            </w:r>
          </w:p>
        </w:tc>
        <w:tc>
          <w:tcPr>
            <w:tcW w:w="1685" w:type="dxa"/>
            <w:tcBorders>
              <w:tl2br w:val="nil"/>
              <w:tr2bl w:val="nil"/>
            </w:tcBorders>
            <w:vAlign w:val="center"/>
          </w:tcPr>
          <w:p>
            <w:pPr>
              <w:pStyle w:val="22"/>
              <w:widowControl/>
              <w:spacing w:line="240" w:lineRule="auto"/>
              <w:ind w:firstLine="105" w:firstLineChars="50"/>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ind w:firstLine="105" w:firstLineChars="5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11</w:t>
            </w:r>
          </w:p>
        </w:tc>
        <w:tc>
          <w:tcPr>
            <w:tcW w:w="941" w:type="dxa"/>
            <w:gridSpan w:val="2"/>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c>
          <w:tcPr>
            <w:tcW w:w="751"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14</w:t>
            </w:r>
          </w:p>
        </w:tc>
        <w:tc>
          <w:tcPr>
            <w:tcW w:w="1002" w:type="dxa"/>
            <w:tcBorders>
              <w:tl2br w:val="nil"/>
              <w:tr2bl w:val="nil"/>
            </w:tcBorders>
            <w:vAlign w:val="center"/>
          </w:tcPr>
          <w:p>
            <w:pPr>
              <w:pStyle w:val="22"/>
              <w:widowControl/>
              <w:spacing w:line="240" w:lineRule="auto"/>
              <w:ind w:firstLine="105" w:firstLineChars="5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1048" w:type="dxa"/>
            <w:tcBorders>
              <w:tl2br w:val="nil"/>
              <w:tr2bl w:val="nil"/>
            </w:tcBorders>
            <w:vAlign w:val="center"/>
          </w:tcPr>
          <w:p>
            <w:pPr>
              <w:pStyle w:val="22"/>
              <w:widowControl/>
              <w:spacing w:line="240" w:lineRule="auto"/>
              <w:ind w:firstLine="315" w:firstLineChars="1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11</w:t>
            </w:r>
          </w:p>
        </w:tc>
      </w:tr>
    </w:tbl>
    <w:p>
      <w:pPr>
        <w:spacing w:line="340" w:lineRule="exact"/>
        <w:ind w:firstLine="422" w:firstLineChars="200"/>
        <w:rPr>
          <w:rFonts w:ascii="黑体" w:hAnsi="黑体" w:eastAsia="黑体" w:cs="黑体"/>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 xml:space="preserve">（二）教学进程安排表（见附录） </w:t>
      </w:r>
    </w:p>
    <w:p>
      <w:pPr>
        <w:spacing w:line="340" w:lineRule="exact"/>
        <w:ind w:firstLine="413" w:firstLineChars="196"/>
        <w:rPr>
          <w:rFonts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八、实施保障</w:t>
      </w:r>
    </w:p>
    <w:p>
      <w:pPr>
        <w:spacing w:line="340" w:lineRule="exact"/>
        <w:ind w:firstLine="422" w:firstLineChars="200"/>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（一）师资队伍</w:t>
      </w:r>
    </w:p>
    <w:p>
      <w:pPr>
        <w:spacing w:line="340" w:lineRule="exact"/>
        <w:ind w:firstLine="420" w:firstLineChars="200"/>
        <w:rPr>
          <w:rFonts w:ascii="华文仿宋" w:hAnsi="华文仿宋" w:eastAsia="华文仿宋" w:cs="华文仿宋"/>
          <w:color w:val="000000" w:themeColor="text1"/>
          <w:szCs w:val="21"/>
          <w14:textFill>
            <w14:solidFill>
              <w14:schemeClr w14:val="tx1"/>
            </w14:solidFill>
          </w14:textFill>
        </w:rPr>
      </w:pPr>
      <w:r>
        <w:rPr>
          <w:rFonts w:hint="eastAsia" w:ascii="华文仿宋" w:hAnsi="华文仿宋" w:eastAsia="华文仿宋" w:cs="华文仿宋"/>
          <w:color w:val="000000" w:themeColor="text1"/>
          <w:szCs w:val="21"/>
          <w14:textFill>
            <w14:solidFill>
              <w14:schemeClr w14:val="tx1"/>
            </w14:solidFill>
          </w14:textFill>
        </w:rPr>
        <w:t>1.队伍结构</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1</w:t>
      </w:r>
      <w:r>
        <w:rPr>
          <w:rFonts w:hint="eastAsia" w:ascii="仿宋" w:hAnsi="仿宋" w:eastAsia="仿宋" w:cs="仿宋"/>
          <w:sz w:val="21"/>
          <w:szCs w:val="21"/>
          <w:lang w:eastAsia="zh-CN"/>
        </w:rPr>
        <w:t>）</w:t>
      </w:r>
      <w:r>
        <w:rPr>
          <w:rFonts w:hint="eastAsia" w:ascii="仿宋" w:hAnsi="仿宋" w:eastAsia="仿宋" w:cs="仿宋"/>
          <w:sz w:val="21"/>
          <w:szCs w:val="21"/>
        </w:rPr>
        <w:t>专任专业教师与在籍学生之比1:</w:t>
      </w:r>
      <w:r>
        <w:rPr>
          <w:rFonts w:hint="eastAsia" w:ascii="仿宋" w:hAnsi="仿宋" w:eastAsia="仿宋" w:cs="仿宋"/>
          <w:sz w:val="21"/>
          <w:szCs w:val="21"/>
          <w:lang w:val="en-US" w:eastAsia="zh-CN"/>
        </w:rPr>
        <w:t>27</w:t>
      </w:r>
      <w:r>
        <w:rPr>
          <w:rFonts w:hint="eastAsia" w:ascii="仿宋" w:hAnsi="仿宋" w:eastAsia="仿宋" w:cs="仿宋"/>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（2）双师素质教师占专业教师比75%</w:t>
      </w:r>
      <w:r>
        <w:rPr>
          <w:rFonts w:hint="eastAsia" w:ascii="仿宋" w:hAnsi="仿宋" w:eastAsia="仿宋" w:cs="仿宋"/>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3</w:t>
      </w:r>
      <w:r>
        <w:rPr>
          <w:rFonts w:hint="eastAsia" w:ascii="仿宋" w:hAnsi="仿宋" w:eastAsia="仿宋" w:cs="仿宋"/>
          <w:sz w:val="21"/>
          <w:szCs w:val="21"/>
          <w:lang w:eastAsia="zh-CN"/>
        </w:rPr>
        <w:t>）</w:t>
      </w:r>
      <w:r>
        <w:rPr>
          <w:rFonts w:hint="eastAsia" w:ascii="仿宋" w:hAnsi="仿宋" w:eastAsia="仿宋" w:cs="仿宋"/>
          <w:sz w:val="21"/>
          <w:szCs w:val="21"/>
        </w:rPr>
        <w:t>兼职教师占专业教师比例</w:t>
      </w:r>
      <w:r>
        <w:rPr>
          <w:rFonts w:hint="eastAsia" w:ascii="仿宋" w:hAnsi="仿宋" w:eastAsia="仿宋" w:cs="仿宋"/>
          <w:sz w:val="21"/>
          <w:szCs w:val="21"/>
          <w:lang w:val="en-US" w:eastAsia="zh-CN"/>
        </w:rPr>
        <w:t>25</w:t>
      </w:r>
      <w:r>
        <w:rPr>
          <w:rFonts w:hint="eastAsia" w:ascii="仿宋" w:hAnsi="仿宋" w:eastAsia="仿宋" w:cs="仿宋"/>
          <w:sz w:val="21"/>
          <w:szCs w:val="21"/>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2.专任专业教师任职资格</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1</w:t>
      </w:r>
      <w:r>
        <w:rPr>
          <w:rFonts w:hint="eastAsia" w:ascii="仿宋" w:hAnsi="仿宋" w:eastAsia="仿宋" w:cs="仿宋"/>
          <w:sz w:val="21"/>
          <w:szCs w:val="21"/>
          <w:lang w:eastAsia="zh-CN"/>
        </w:rPr>
        <w:t>）</w:t>
      </w:r>
      <w:r>
        <w:rPr>
          <w:rFonts w:hint="eastAsia" w:ascii="仿宋" w:hAnsi="仿宋" w:eastAsia="仿宋" w:cs="仿宋"/>
          <w:sz w:val="21"/>
          <w:szCs w:val="21"/>
        </w:rPr>
        <w:t>取得教师职业资格证</w:t>
      </w:r>
      <w:r>
        <w:rPr>
          <w:rFonts w:hint="eastAsia" w:ascii="仿宋" w:hAnsi="仿宋" w:eastAsia="仿宋" w:cs="仿宋"/>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w:t>
      </w:r>
      <w:r>
        <w:rPr>
          <w:rFonts w:hint="eastAsia" w:ascii="仿宋" w:hAnsi="仿宋" w:eastAsia="仿宋" w:cs="仿宋"/>
          <w:sz w:val="21"/>
          <w:szCs w:val="21"/>
        </w:rPr>
        <w:t>具有本科及以上学历</w:t>
      </w:r>
      <w:r>
        <w:rPr>
          <w:rFonts w:hint="eastAsia" w:ascii="仿宋" w:hAnsi="仿宋" w:eastAsia="仿宋" w:cs="仿宋"/>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3</w:t>
      </w:r>
      <w:r>
        <w:rPr>
          <w:rFonts w:hint="eastAsia" w:ascii="仿宋" w:hAnsi="仿宋" w:eastAsia="仿宋" w:cs="仿宋"/>
          <w:sz w:val="21"/>
          <w:szCs w:val="21"/>
          <w:lang w:eastAsia="zh-CN"/>
        </w:rPr>
        <w:t>）</w:t>
      </w:r>
      <w:r>
        <w:rPr>
          <w:rFonts w:hint="eastAsia" w:ascii="仿宋" w:hAnsi="仿宋" w:eastAsia="仿宋" w:cs="仿宋"/>
          <w:sz w:val="21"/>
          <w:szCs w:val="21"/>
        </w:rPr>
        <w:t>具有与本专业相关的高级工及以上职业资格证书</w:t>
      </w:r>
      <w:r>
        <w:rPr>
          <w:rFonts w:hint="eastAsia" w:ascii="仿宋" w:hAnsi="仿宋" w:eastAsia="仿宋" w:cs="仿宋"/>
          <w:sz w:val="21"/>
          <w:szCs w:val="21"/>
          <w:lang w:eastAsia="zh-CN"/>
        </w:rPr>
        <w: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4</w:t>
      </w:r>
      <w:r>
        <w:rPr>
          <w:rFonts w:hint="eastAsia" w:ascii="仿宋" w:hAnsi="仿宋" w:eastAsia="仿宋" w:cs="仿宋"/>
          <w:sz w:val="21"/>
          <w:szCs w:val="21"/>
          <w:lang w:eastAsia="zh-CN"/>
        </w:rPr>
        <w:t>）</w:t>
      </w:r>
      <w:r>
        <w:rPr>
          <w:rFonts w:hint="eastAsia" w:ascii="仿宋" w:hAnsi="仿宋" w:eastAsia="仿宋" w:cs="仿宋"/>
          <w:sz w:val="21"/>
          <w:szCs w:val="21"/>
        </w:rPr>
        <w:t>具有项目教学实施能力，具有信息化教学资源开发、整合和应用能力。</w:t>
      </w:r>
    </w:p>
    <w:p>
      <w:pPr>
        <w:numPr>
          <w:ilvl w:val="255"/>
          <w:numId w:val="0"/>
        </w:numPr>
        <w:overflowPunct w:val="0"/>
        <w:adjustRightInd w:val="0"/>
        <w:spacing w:line="340" w:lineRule="exact"/>
        <w:ind w:firstLine="420" w:firstLineChars="200"/>
        <w:outlineLvl w:val="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14:textFill>
            <w14:solidFill>
              <w14:schemeClr w14:val="tx1"/>
            </w14:solidFill>
          </w14:textFill>
        </w:rPr>
        <w:t>专业带头人</w:t>
      </w:r>
    </w:p>
    <w:p>
      <w:pPr>
        <w:keepNext w:val="0"/>
        <w:keepLines w:val="0"/>
        <w:pageBreakBefore w:val="0"/>
        <w:widowControl w:val="0"/>
        <w:numPr>
          <w:ilvl w:val="255"/>
          <w:numId w:val="0"/>
        </w:numPr>
        <w:kinsoku/>
        <w:wordWrap/>
        <w:overflowPunct w:val="0"/>
        <w:topLinePunct w:val="0"/>
        <w:autoSpaceDE/>
        <w:autoSpaceDN/>
        <w:bidi w:val="0"/>
        <w:adjustRightInd w:val="0"/>
        <w:snapToGrid/>
        <w:spacing w:line="440" w:lineRule="exact"/>
        <w:ind w:firstLine="420" w:firstLineChars="200"/>
        <w:textAlignment w:val="auto"/>
        <w:outlineLvl w:val="0"/>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1</w:t>
      </w: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具有</w:t>
      </w:r>
      <w:r>
        <w:rPr>
          <w:rFonts w:hint="eastAsia" w:ascii="仿宋" w:hAnsi="仿宋" w:eastAsia="仿宋" w:cs="仿宋"/>
          <w:color w:val="000000" w:themeColor="text1"/>
          <w:szCs w:val="21"/>
          <w:lang w:val="en-US" w:eastAsia="zh-CN"/>
          <w14:textFill>
            <w14:solidFill>
              <w14:schemeClr w14:val="tx1"/>
            </w14:solidFill>
          </w14:textFill>
        </w:rPr>
        <w:t>本科学历硕士学位、副教授职称；</w:t>
      </w:r>
    </w:p>
    <w:p>
      <w:pPr>
        <w:keepNext w:val="0"/>
        <w:keepLines w:val="0"/>
        <w:pageBreakBefore w:val="0"/>
        <w:widowControl w:val="0"/>
        <w:numPr>
          <w:ilvl w:val="255"/>
          <w:numId w:val="0"/>
        </w:numPr>
        <w:kinsoku/>
        <w:wordWrap/>
        <w:overflowPunct w:val="0"/>
        <w:topLinePunct w:val="0"/>
        <w:autoSpaceDE/>
        <w:autoSpaceDN/>
        <w:bidi w:val="0"/>
        <w:adjustRightInd w:val="0"/>
        <w:snapToGrid/>
        <w:spacing w:line="440" w:lineRule="exact"/>
        <w:ind w:firstLine="420" w:firstLineChars="200"/>
        <w:textAlignment w:val="auto"/>
        <w:outlineLvl w:val="0"/>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（2）具有与本专业相关的高级职业资格证书；</w:t>
      </w:r>
    </w:p>
    <w:p>
      <w:pPr>
        <w:keepNext w:val="0"/>
        <w:keepLines w:val="0"/>
        <w:pageBreakBefore w:val="0"/>
        <w:widowControl w:val="0"/>
        <w:numPr>
          <w:ilvl w:val="255"/>
          <w:numId w:val="0"/>
        </w:numPr>
        <w:kinsoku/>
        <w:wordWrap/>
        <w:overflowPunct w:val="0"/>
        <w:topLinePunct w:val="0"/>
        <w:autoSpaceDE/>
        <w:autoSpaceDN/>
        <w:bidi w:val="0"/>
        <w:adjustRightInd w:val="0"/>
        <w:snapToGrid/>
        <w:spacing w:line="440" w:lineRule="exact"/>
        <w:ind w:firstLine="420" w:firstLineChars="200"/>
        <w:textAlignment w:val="auto"/>
        <w:outlineLvl w:val="0"/>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（3）从事本专业教学24年以上；</w:t>
      </w:r>
    </w:p>
    <w:p>
      <w:pPr>
        <w:keepNext w:val="0"/>
        <w:keepLines w:val="0"/>
        <w:pageBreakBefore w:val="0"/>
        <w:widowControl w:val="0"/>
        <w:numPr>
          <w:ilvl w:val="255"/>
          <w:numId w:val="0"/>
        </w:numPr>
        <w:kinsoku/>
        <w:wordWrap/>
        <w:overflowPunct w:val="0"/>
        <w:topLinePunct w:val="0"/>
        <w:autoSpaceDE/>
        <w:autoSpaceDN/>
        <w:bidi w:val="0"/>
        <w:adjustRightInd w:val="0"/>
        <w:snapToGrid/>
        <w:spacing w:line="440" w:lineRule="exact"/>
        <w:ind w:firstLine="420" w:firstLineChars="200"/>
        <w:textAlignment w:val="auto"/>
        <w:outlineLvl w:val="0"/>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（4）熟悉行业和本专业发展现状与趋势；</w:t>
      </w:r>
    </w:p>
    <w:p>
      <w:pPr>
        <w:keepNext w:val="0"/>
        <w:keepLines w:val="0"/>
        <w:pageBreakBefore w:val="0"/>
        <w:widowControl w:val="0"/>
        <w:numPr>
          <w:ilvl w:val="255"/>
          <w:numId w:val="0"/>
        </w:numPr>
        <w:kinsoku/>
        <w:wordWrap/>
        <w:overflowPunct w:val="0"/>
        <w:topLinePunct w:val="0"/>
        <w:autoSpaceDE/>
        <w:autoSpaceDN/>
        <w:bidi w:val="0"/>
        <w:adjustRightInd w:val="0"/>
        <w:snapToGrid/>
        <w:spacing w:line="440" w:lineRule="exact"/>
        <w:ind w:firstLine="420" w:firstLineChars="200"/>
        <w:textAlignment w:val="auto"/>
        <w:outlineLvl w:val="0"/>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（5）具有开发专业课程的能力；</w:t>
      </w:r>
    </w:p>
    <w:p>
      <w:pPr>
        <w:keepNext w:val="0"/>
        <w:keepLines w:val="0"/>
        <w:pageBreakBefore w:val="0"/>
        <w:widowControl w:val="0"/>
        <w:kinsoku/>
        <w:wordWrap/>
        <w:overflowPunct/>
        <w:topLinePunct w:val="0"/>
        <w:autoSpaceDE/>
        <w:autoSpaceDN/>
        <w:bidi w:val="0"/>
        <w:snapToGrid/>
        <w:spacing w:line="440" w:lineRule="exact"/>
        <w:ind w:firstLine="420" w:firstLineChars="200"/>
        <w:textAlignment w:val="auto"/>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（6）能够指导新教师完成上岗实习工作。</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.专业兼职教师任职资格</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1</w:t>
      </w:r>
      <w:r>
        <w:rPr>
          <w:rFonts w:hint="eastAsia" w:ascii="仿宋" w:hAnsi="仿宋" w:eastAsia="仿宋" w:cs="仿宋"/>
          <w:sz w:val="21"/>
          <w:szCs w:val="21"/>
          <w:lang w:eastAsia="zh-CN"/>
        </w:rPr>
        <w:t>）</w:t>
      </w:r>
      <w:r>
        <w:rPr>
          <w:rFonts w:hint="eastAsia" w:ascii="仿宋" w:hAnsi="仿宋" w:eastAsia="仿宋" w:cs="仿宋"/>
          <w:sz w:val="21"/>
          <w:szCs w:val="21"/>
        </w:rPr>
        <w:t>具有工程师、技师职称的技术人员，或是在本专业领域享有较高声誉、有丰富实践经验和特殊技能的行业企业技术专家、能工巧匠</w:t>
      </w:r>
      <w:r>
        <w:rPr>
          <w:rFonts w:hint="eastAsia" w:ascii="仿宋" w:hAnsi="仿宋" w:eastAsia="仿宋" w:cs="仿宋"/>
          <w:sz w:val="21"/>
          <w:szCs w:val="21"/>
          <w:lang w:eastAsia="zh-CN"/>
        </w:rPr>
        <w:t>；</w:t>
      </w:r>
    </w:p>
    <w:p>
      <w:pPr>
        <w:adjustRightInd w:val="0"/>
        <w:snapToGrid w:val="0"/>
        <w:spacing w:line="340" w:lineRule="exact"/>
        <w:ind w:firstLine="420" w:firstLineChars="200"/>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w:t>
      </w:r>
      <w:r>
        <w:rPr>
          <w:rFonts w:hint="eastAsia" w:ascii="仿宋" w:hAnsi="仿宋" w:eastAsia="仿宋" w:cs="仿宋"/>
          <w:sz w:val="21"/>
          <w:szCs w:val="21"/>
        </w:rPr>
        <w:t>参加过学校组织的教学方法培训，承担不少于70学时的教学任务。</w:t>
      </w:r>
    </w:p>
    <w:p>
      <w:pPr>
        <w:adjustRightInd w:val="0"/>
        <w:snapToGrid w:val="0"/>
        <w:spacing w:line="340" w:lineRule="exact"/>
        <w:ind w:firstLine="422" w:firstLineChars="20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（二）教学设施</w:t>
      </w:r>
    </w:p>
    <w:p>
      <w:pPr>
        <w:widowControl/>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教学设施主要包括能够满足正常的课程教学、实习实训所必需的专业教室、实训室和实训基地。</w:t>
      </w:r>
    </w:p>
    <w:p>
      <w:pPr>
        <w:widowControl/>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1.专业教室</w:t>
      </w:r>
    </w:p>
    <w:p>
      <w:pPr>
        <w:widowControl/>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配备黑（白）板、多媒体计算机、投影设备、音响设备，互联网接入或WiFi环境，并具有网络安全防护措施。安装应急照明装置并保持良好状态，符合紧急疏散要求，标志明显，保持逃生通道畅通无阻。</w:t>
      </w:r>
    </w:p>
    <w:p>
      <w:pPr>
        <w:widowControl/>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2.校内实训室</w:t>
      </w:r>
    </w:p>
    <w:tbl>
      <w:tblPr>
        <w:tblStyle w:val="11"/>
        <w:tblW w:w="94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1455"/>
        <w:gridCol w:w="2805"/>
        <w:gridCol w:w="44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序号</w:t>
            </w:r>
          </w:p>
        </w:tc>
        <w:tc>
          <w:tcPr>
            <w:tcW w:w="1455" w:type="dxa"/>
            <w:tcBorders>
              <w:tl2br w:val="nil"/>
              <w:tr2bl w:val="nil"/>
            </w:tcBorders>
            <w:shd w:val="clear" w:color="auto" w:fill="auto"/>
            <w:vAlign w:val="center"/>
          </w:tcPr>
          <w:p>
            <w:pPr>
              <w:widowControl/>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实训室名称</w:t>
            </w:r>
          </w:p>
        </w:tc>
        <w:tc>
          <w:tcPr>
            <w:tcW w:w="2805" w:type="dxa"/>
            <w:tcBorders>
              <w:tl2br w:val="nil"/>
              <w:tr2bl w:val="nil"/>
            </w:tcBorders>
            <w:shd w:val="clear" w:color="auto" w:fill="auto"/>
            <w:vAlign w:val="center"/>
          </w:tcPr>
          <w:p>
            <w:pPr>
              <w:widowControl/>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主要功能</w:t>
            </w:r>
          </w:p>
        </w:tc>
        <w:tc>
          <w:tcPr>
            <w:tcW w:w="4452" w:type="dxa"/>
            <w:tcBorders>
              <w:tl2br w:val="nil"/>
              <w:tr2bl w:val="nil"/>
            </w:tcBorders>
            <w:shd w:val="clear" w:color="auto" w:fill="auto"/>
            <w:vAlign w:val="center"/>
          </w:tcPr>
          <w:p>
            <w:pPr>
              <w:widowControl/>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主要设施设备配置建议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绘画实训室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素描、色彩写生，人物速写写生，动画造型的设计与绘画，动漫速写的实训。</w:t>
            </w:r>
          </w:p>
        </w:tc>
        <w:tc>
          <w:tcPr>
            <w:tcW w:w="4452" w:type="dxa"/>
            <w:tcBorders>
              <w:tl2br w:val="nil"/>
              <w:tr2bl w:val="nil"/>
            </w:tcBorders>
            <w:shd w:val="clear" w:color="auto" w:fill="auto"/>
            <w:vAlign w:val="center"/>
          </w:tcPr>
          <w:p>
            <w:pPr>
              <w:widowControl/>
              <w:ind w:firstLine="420" w:firstLineChars="20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配备投影设备、黑板或白板、画架与画凳、供水与排水设施、素描灯、石膏道具、静物台。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视觉艺术</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艺术设计制作、文创设计绘制等艺术设计实训。</w:t>
            </w:r>
          </w:p>
        </w:tc>
        <w:tc>
          <w:tcPr>
            <w:tcW w:w="4452"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配备高清投影设备、黑板或白板、高性能计算机、手绘板或数位屏、透写台、动检仪、扫描仪，Wi-Fi覆盖，安装Photoshop、Illustrator、CAD等软件环境。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室内艺术</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室内空间设计、室内陈设设计等艺术设计实训。</w:t>
            </w:r>
          </w:p>
        </w:tc>
        <w:tc>
          <w:tcPr>
            <w:tcW w:w="4452"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配备高清投影设备、黑板或白板、高性能计算机及工作站、手绘板或数位屏、工作台、Wi-Fi覆盖，安装草图大师、CAD、3D max等软件环境。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景观设计</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庭院景观设计、微景观设计等艺术设计实训。</w:t>
            </w:r>
          </w:p>
        </w:tc>
        <w:tc>
          <w:tcPr>
            <w:tcW w:w="4452"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配备高清投影设备、黑板或白板、高性能计算机及工作站、手绘板或数位屏、工作台、施工工具、Wi-Fi覆盖，配备有景观施工实训场地。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非遗传承</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留青竹刻、乱针绣等艺术设计实训。</w:t>
            </w:r>
          </w:p>
        </w:tc>
        <w:tc>
          <w:tcPr>
            <w:tcW w:w="4452"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配备高清投影设备、黑板或白板、高性能计算机、手绘板或数位屏、工作台、刺绣架、Wi-Fi覆盖。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摄影摄像</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图形处理</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摄影、图像处理、等艺术设计实训。</w:t>
            </w:r>
          </w:p>
        </w:tc>
        <w:tc>
          <w:tcPr>
            <w:tcW w:w="4452" w:type="dxa"/>
            <w:tcBorders>
              <w:tl2br w:val="nil"/>
              <w:tr2bl w:val="nil"/>
            </w:tcBorders>
            <w:shd w:val="clear" w:color="auto" w:fill="auto"/>
            <w:vAlign w:val="center"/>
          </w:tcPr>
          <w:p>
            <w:pPr>
              <w:widowControl/>
              <w:ind w:firstLine="420" w:firstLineChars="200"/>
              <w:rPr>
                <w:rFonts w:ascii="仿宋" w:hAnsi="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配备高清投影设备、高性能计算机、调音台、云台多功能控制器、灯光、幕布、Power Creator图像定位系统、Power Creator智能识别系统、Power Creator计算机采集系统、Power Creator智能导播系统、Power Creator课堂直播系统等软件环境。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w:t>
            </w:r>
          </w:p>
        </w:tc>
        <w:tc>
          <w:tcPr>
            <w:tcW w:w="1455" w:type="dxa"/>
            <w:tcBorders>
              <w:tl2br w:val="nil"/>
              <w:tr2bl w:val="nil"/>
            </w:tcBorders>
            <w:shd w:val="clear" w:color="auto" w:fill="auto"/>
            <w:vAlign w:val="center"/>
          </w:tcPr>
          <w:p>
            <w:pPr>
              <w:widowControl/>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设计专业</w:t>
            </w:r>
          </w:p>
          <w:p>
            <w:pPr>
              <w:widowControl/>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交叉融合</w:t>
            </w:r>
          </w:p>
          <w:p>
            <w:pPr>
              <w:widowControl/>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用于本专业生产性实训课程的教学</w:t>
            </w:r>
          </w:p>
        </w:tc>
        <w:tc>
          <w:tcPr>
            <w:tcW w:w="4452" w:type="dxa"/>
            <w:tcBorders>
              <w:tl2br w:val="nil"/>
              <w:tr2bl w:val="nil"/>
            </w:tcBorders>
            <w:shd w:val="clear" w:color="auto" w:fill="auto"/>
          </w:tcPr>
          <w:p>
            <w:pPr>
              <w:widowControl/>
              <w:snapToGri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配备触屏电视、高性能计算机及工作站、手绘板、数位屏、工作台、耳机，摄影摄像设备、雕刻机、施工设备、互联网接入或Wi-Fi环境，安装Photoshop、Illustrator、CAD、草图大师、CAD、3D max等软件环境。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专业特色建设项目实训室</w:t>
            </w:r>
          </w:p>
        </w:tc>
        <w:tc>
          <w:tcPr>
            <w:tcW w:w="8712" w:type="dxa"/>
            <w:gridSpan w:val="3"/>
            <w:tcBorders>
              <w:tl2br w:val="nil"/>
              <w:tr2bl w:val="nil"/>
            </w:tcBorders>
            <w:shd w:val="clear" w:color="auto" w:fill="auto"/>
            <w:vAlign w:val="center"/>
          </w:tcPr>
          <w:p>
            <w:pPr>
              <w:widowControl/>
              <w:ind w:firstLine="420" w:firstLineChars="20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学校根据中、高职艺术设计专业技能大赛赛项要求，配置相应实训设备和考核训练平台</w:t>
            </w:r>
          </w:p>
          <w:p>
            <w:pPr>
              <w:widowControl/>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系统；根据所确定的职业资格或职业技能等级证书，配置相应实训教学设备和考核训练平台系统；根据本校专业建设特色化要求配置相应实训室。</w:t>
            </w:r>
          </w:p>
        </w:tc>
      </w:tr>
    </w:tbl>
    <w:p>
      <w:pPr>
        <w:widowControl/>
        <w:numPr>
          <w:ilvl w:val="0"/>
          <w:numId w:val="0"/>
        </w:numPr>
        <w:spacing w:line="340" w:lineRule="exact"/>
        <w:ind w:firstLine="420" w:firstLineChars="2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14:textFill>
            <w14:solidFill>
              <w14:schemeClr w14:val="tx1"/>
            </w14:solidFill>
          </w14:textFill>
        </w:rPr>
        <w:t>校外实习基地</w:t>
      </w:r>
    </w:p>
    <w:p>
      <w:pPr>
        <w:widowControl/>
        <w:numPr>
          <w:ilvl w:val="0"/>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建</w:t>
      </w:r>
      <w:r>
        <w:rPr>
          <w:rFonts w:hint="eastAsia" w:ascii="仿宋" w:hAnsi="仿宋" w:eastAsia="仿宋" w:cs="仿宋"/>
          <w:color w:val="000000" w:themeColor="text1"/>
          <w:szCs w:val="21"/>
          <w14:textFill>
            <w14:solidFill>
              <w14:schemeClr w14:val="tx1"/>
            </w14:solidFill>
          </w14:textFill>
        </w:rPr>
        <w:t>有</w:t>
      </w:r>
      <w:r>
        <w:rPr>
          <w:rFonts w:hint="eastAsia" w:ascii="仿宋" w:hAnsi="仿宋" w:eastAsia="仿宋" w:cs="仿宋"/>
          <w:color w:val="000000" w:themeColor="text1"/>
          <w:szCs w:val="21"/>
          <w:lang w:val="en-US" w:eastAsia="zh-CN"/>
          <w14:textFill>
            <w14:solidFill>
              <w14:schemeClr w14:val="tx1"/>
            </w14:solidFill>
          </w14:textFill>
        </w:rPr>
        <w:t>与常州鸿鹄装饰设计工程有限公司、常州爱画文化艺术有限公司等企业合作的、</w:t>
      </w:r>
      <w:r>
        <w:rPr>
          <w:rFonts w:hint="eastAsia" w:ascii="仿宋" w:hAnsi="仿宋" w:eastAsia="仿宋" w:cs="仿宋"/>
          <w:color w:val="000000" w:themeColor="text1"/>
          <w:szCs w:val="21"/>
          <w14:textFill>
            <w14:solidFill>
              <w14:schemeClr w14:val="tx1"/>
            </w14:solidFill>
          </w14:textFill>
        </w:rPr>
        <w:t>稳定的校外实训基地1</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14:textFill>
            <w14:solidFill>
              <w14:schemeClr w14:val="tx1"/>
            </w14:solidFill>
          </w14:textFill>
        </w:rPr>
        <w:t>个；基地设施设备齐备，满足实习岗位需求；能够提供视觉传达设计与制作、空间设计与制作、非遗手工制作等相关实习岗位，能涵盖当前艺术设计专业的主流实务，</w:t>
      </w:r>
      <w:r>
        <w:rPr>
          <w:rFonts w:hint="eastAsia" w:ascii="仿宋" w:hAnsi="仿宋" w:eastAsia="仿宋" w:cs="仿宋"/>
          <w:color w:val="000000" w:themeColor="text1"/>
          <w:szCs w:val="21"/>
          <w:lang w:val="en-US" w:eastAsia="zh-CN"/>
          <w14:textFill>
            <w14:solidFill>
              <w14:schemeClr w14:val="tx1"/>
            </w14:solidFill>
          </w14:textFill>
        </w:rPr>
        <w:t>联合共建工作室和实训项目课程，</w:t>
      </w:r>
      <w:r>
        <w:rPr>
          <w:rFonts w:hint="eastAsia" w:ascii="仿宋" w:hAnsi="仿宋" w:eastAsia="仿宋" w:cs="仿宋"/>
          <w:color w:val="000000" w:themeColor="text1"/>
          <w:szCs w:val="21"/>
          <w14:textFill>
            <w14:solidFill>
              <w14:schemeClr w14:val="tx1"/>
            </w14:solidFill>
          </w14:textFill>
        </w:rPr>
        <w:t>可接纳一定规模的学生实习；</w:t>
      </w:r>
      <w:r>
        <w:rPr>
          <w:rFonts w:hint="eastAsia" w:ascii="仿宋" w:hAnsi="仿宋" w:eastAsia="仿宋" w:cs="仿宋"/>
          <w:color w:val="000000" w:themeColor="text1"/>
          <w:szCs w:val="21"/>
          <w:lang w:val="en-US" w:eastAsia="zh-CN"/>
          <w14:textFill>
            <w14:solidFill>
              <w14:schemeClr w14:val="tx1"/>
            </w14:solidFill>
          </w14:textFill>
        </w:rPr>
        <w:t>学校配备3名指导教师、企业配备1名岗位助理</w:t>
      </w:r>
      <w:r>
        <w:rPr>
          <w:rFonts w:hint="eastAsia" w:ascii="仿宋" w:hAnsi="仿宋" w:eastAsia="仿宋" w:cs="仿宋"/>
          <w:color w:val="000000" w:themeColor="text1"/>
          <w:szCs w:val="21"/>
          <w14:textFill>
            <w14:solidFill>
              <w14:schemeClr w14:val="tx1"/>
            </w14:solidFill>
          </w14:textFill>
        </w:rPr>
        <w:t>对学生实习进行指导和管理；有保证实习生日常工作、学习、生活的规章制度，有安全、保险保障。</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4.支持信息化教学</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具有利用数字化教学资源库、文献资料、常见问题解答等的信息化条件，引导鼓励教师开发并利用信息化教学资源、教学平台</w:t>
      </w: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sz w:val="21"/>
          <w:szCs w:val="21"/>
          <w:lang w:eastAsia="zh-CN"/>
        </w:rPr>
        <w:t>比如：超星通、钉钉、</w:t>
      </w:r>
      <w:r>
        <w:rPr>
          <w:rFonts w:hint="eastAsia" w:ascii="仿宋" w:hAnsi="仿宋" w:eastAsia="仿宋" w:cs="仿宋"/>
          <w:sz w:val="21"/>
          <w:szCs w:val="21"/>
          <w:lang w:val="en-US" w:eastAsia="zh-CN"/>
        </w:rPr>
        <w:t>QQ群等平台，</w:t>
      </w:r>
      <w:r>
        <w:rPr>
          <w:rFonts w:hint="eastAsia" w:ascii="仿宋" w:hAnsi="仿宋" w:eastAsia="仿宋" w:cs="仿宋"/>
          <w:color w:val="000000" w:themeColor="text1"/>
          <w:szCs w:val="21"/>
          <w14:textFill>
            <w14:solidFill>
              <w14:schemeClr w14:val="tx1"/>
            </w14:solidFill>
          </w14:textFill>
        </w:rPr>
        <w:t>创新教学方法、提升教学效果。</w:t>
      </w:r>
    </w:p>
    <w:p>
      <w:pPr>
        <w:overflowPunct w:val="0"/>
        <w:adjustRightInd w:val="0"/>
        <w:spacing w:line="340" w:lineRule="exact"/>
        <w:ind w:firstLine="422" w:firstLineChars="200"/>
        <w:outlineLvl w:val="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(三）教学资源</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教学资源主要包括能够满足学生学习、教师教学和科研等需要的教材、图书资料以及数字资源等。</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1.教材选用</w:t>
      </w:r>
    </w:p>
    <w:p>
      <w:pPr>
        <w:spacing w:line="340" w:lineRule="exact"/>
        <w:ind w:firstLine="420" w:firstLineChars="200"/>
        <w:rPr>
          <w:rFonts w:ascii="仿宋" w:hAnsi="仿宋" w:eastAsia="仿宋" w:cs="仿宋"/>
          <w:color w:val="000000" w:themeColor="text1"/>
          <w:lang w:val="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执行江苏联合职业技术学院关于教材开发和教材选用的相关管理制度，</w:t>
      </w:r>
      <w:r>
        <w:rPr>
          <w:rFonts w:hint="eastAsia" w:ascii="仿宋" w:hAnsi="仿宋" w:eastAsia="仿宋" w:cs="仿宋"/>
          <w:color w:val="000000" w:themeColor="text1"/>
          <w:lang w:val="zh-CN"/>
          <w14:textFill>
            <w14:solidFill>
              <w14:schemeClr w14:val="tx1"/>
            </w14:solidFill>
          </w14:textFill>
        </w:rPr>
        <w:t>建立专业教师、行业专家和教研人员等参与的教材选用机构,完善教材选用制度。</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2.图书文献配备</w:t>
      </w:r>
    </w:p>
    <w:p>
      <w:pPr>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zh-CN"/>
          <w14:textFill>
            <w14:solidFill>
              <w14:schemeClr w14:val="tx1"/>
            </w14:solidFill>
          </w14:textFill>
        </w:rPr>
        <w:t>按规定不断充实图书文献，满足人才培养、专业建设、教科研等工作需要，方便师生查询、借阅。专业类图书文献主要包括：设计行业政策法规、行业标准、技术规范等；设计专业类图书和实务案例类图书；5种以上艺术设计专业学术期刊。</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3.数字教学资源配备</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lang w:val="zh-CN"/>
          <w14:textFill>
            <w14:solidFill>
              <w14:schemeClr w14:val="tx1"/>
            </w14:solidFill>
          </w14:textFill>
        </w:rPr>
        <w:t>加强数字化教学建设，不断充实与本专业有关的音视频素材、教学课件、数字化教学案例、虚拟仿真软件、数字教材等专业教学资源库；数字教学资源种类丰富、形式多样、使用便捷、动态更新，推进现代化信息技术在教学实践中的应用。</w:t>
      </w:r>
    </w:p>
    <w:p>
      <w:pPr>
        <w:overflowPunct w:val="0"/>
        <w:adjustRightInd w:val="0"/>
        <w:spacing w:line="340" w:lineRule="exact"/>
        <w:ind w:firstLine="422" w:firstLineChars="200"/>
        <w:outlineLvl w:val="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（四）教学方法</w:t>
      </w:r>
    </w:p>
    <w:p>
      <w:pPr>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1.深化教学改革,推进“课程思政”,结合本专业人才培养特点和专业能力素质要求, 梳理课程蕴含的思想教育元素，创新思政课程教学模式，发挥专业课程承载的思想政治教育功能，实现思想政治教育与技术技能培养的有机统一。</w:t>
      </w:r>
    </w:p>
    <w:p>
      <w:pPr>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2.坚持以生为本、因材施教，对学生进行个性化的教学设计。推进以学生为主体，以能力培养为本位，以项目为载体，以工作任务为驱动的教学模式改革。</w:t>
      </w:r>
    </w:p>
    <w:p>
      <w:pPr>
        <w:spacing w:line="340" w:lineRule="exact"/>
        <w:ind w:firstLine="42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3.完善 “做学结合”教学模式，强化课堂教学与艺术实践相结合，提升学生的艺术实践能力，使人才培养、艺术实践与社会服务协调发展。</w:t>
      </w:r>
    </w:p>
    <w:p>
      <w:pPr>
        <w:spacing w:line="340" w:lineRule="exact"/>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4.深入贯彻“校企融合”，</w:t>
      </w:r>
      <w:r>
        <w:rPr>
          <w:rFonts w:hint="eastAsia" w:ascii="仿宋" w:hAnsi="仿宋" w:eastAsia="仿宋" w:cs="仿宋"/>
          <w:i w:val="0"/>
          <w:caps w:val="0"/>
          <w:color w:val="000000" w:themeColor="text1"/>
          <w:spacing w:val="8"/>
          <w:sz w:val="21"/>
          <w:szCs w:val="21"/>
          <w:shd w:val="clear" w:fill="FFFFFF"/>
          <w14:textFill>
            <w14:solidFill>
              <w14:schemeClr w14:val="tx1"/>
            </w14:solidFill>
          </w14:textFill>
        </w:rPr>
        <w:t>积极探索“双主体、双课堂、双课程、双教师”的教学模式，使教学与生产紧密、精准对接</w:t>
      </w:r>
      <w:r>
        <w:rPr>
          <w:rFonts w:hint="eastAsia" w:ascii="仿宋" w:hAnsi="仿宋" w:eastAsia="仿宋" w:cs="仿宋"/>
          <w:i w:val="0"/>
          <w:caps w:val="0"/>
          <w:color w:val="000000" w:themeColor="text1"/>
          <w:spacing w:val="8"/>
          <w:sz w:val="21"/>
          <w:szCs w:val="21"/>
          <w:shd w:val="clear" w:fill="FFFFFF"/>
          <w:lang w:eastAsia="zh-CN"/>
          <w14:textFill>
            <w14:solidFill>
              <w14:schemeClr w14:val="tx1"/>
            </w14:solidFill>
          </w14:textFill>
        </w:rPr>
        <w:t>。</w:t>
      </w:r>
    </w:p>
    <w:p>
      <w:pPr>
        <w:overflowPunct w:val="0"/>
        <w:adjustRightInd w:val="0"/>
        <w:spacing w:line="340" w:lineRule="exact"/>
        <w:ind w:firstLine="422" w:firstLineChars="200"/>
        <w:outlineLvl w:val="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（五）学习评价</w:t>
      </w:r>
    </w:p>
    <w:p>
      <w:pPr>
        <w:spacing w:line="340" w:lineRule="exact"/>
        <w:ind w:firstLine="420" w:firstLineChars="200"/>
        <w:rPr>
          <w:rFonts w:ascii="仿宋" w:hAnsi="仿宋" w:eastAsia="仿宋" w:cs="仿宋"/>
          <w:color w:val="000000" w:themeColor="text1"/>
          <w:lang w:val="zh-CN"/>
          <w14:textFill>
            <w14:solidFill>
              <w14:schemeClr w14:val="tx1"/>
            </w14:solidFill>
          </w14:textFill>
        </w:rPr>
      </w:pPr>
      <w:r>
        <w:rPr>
          <w:rFonts w:hint="eastAsia" w:ascii="仿宋" w:hAnsi="仿宋" w:eastAsia="仿宋" w:cs="仿宋"/>
          <w:color w:val="000000" w:themeColor="text1"/>
          <w:lang w:val="zh-CN"/>
          <w14:textFill>
            <w14:solidFill>
              <w14:schemeClr w14:val="tx1"/>
            </w14:solidFill>
          </w14:textFill>
        </w:rPr>
        <w:t>1</w:t>
      </w: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val="zh-CN"/>
          <w14:textFill>
            <w14:solidFill>
              <w14:schemeClr w14:val="tx1"/>
            </w14:solidFill>
          </w14:textFill>
        </w:rPr>
        <w:t>建成比较科学的教学评价机制，专业人才培养方案中确定的所有课程，均进行课程考核。以学习者的职业道德、技术技能水平和就业质量为核心，制定专业人才培养质量评价标准。</w:t>
      </w:r>
    </w:p>
    <w:p>
      <w:pPr>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2.运用多元评价制度，实施由学校、家长及社会等多方参与的人才培养质量评价活动，形成开放的教育第三方评价体系；采取考试、考查、技术等级鉴定等方式，终结性评价与形成性评价相结合，理论学习评价与实践技能评价相结合。实现评价内容、评价主体和评价手段的多元化。 </w:t>
      </w:r>
    </w:p>
    <w:p>
      <w:pPr>
        <w:overflowPunct w:val="0"/>
        <w:adjustRightInd w:val="0"/>
        <w:spacing w:line="340" w:lineRule="exact"/>
        <w:ind w:firstLine="422" w:firstLineChars="200"/>
        <w:outlineLvl w:val="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（六）质量管理</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 达成人才培养规格。</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3.建立毕业生跟踪反馈机制及社会评价机制，并对生源情况、在校生学业水平、毕业生就业情况等进行分析，定期评价人才培养质量和培养目标达成情况。</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4.加强专业教研活动，充分利用评价分析结果有效改进专业教学，持续提高人才培养质量。</w:t>
      </w:r>
    </w:p>
    <w:p>
      <w:pPr>
        <w:widowControl/>
        <w:spacing w:line="340" w:lineRule="exact"/>
        <w:ind w:firstLine="420" w:firstLineChars="200"/>
        <w:rPr>
          <w:rFonts w:ascii="仿宋" w:hAnsi="仿宋" w:eastAsia="仿宋" w:cs="仿宋"/>
          <w:color w:val="000000" w:themeColor="text1"/>
          <w:lang w:val="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5.建立人才培养方案实施的监管体系，加强对人才培养方案实施情况的检查视导和必要的质量检测。</w:t>
      </w:r>
    </w:p>
    <w:p>
      <w:pPr>
        <w:overflowPunct w:val="0"/>
        <w:adjustRightInd w:val="0"/>
        <w:spacing w:line="340" w:lineRule="exact"/>
        <w:outlineLvl w:val="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九、毕业要求</w:t>
      </w:r>
    </w:p>
    <w:p>
      <w:pPr>
        <w:overflowPunct w:val="0"/>
        <w:adjustRightInd w:val="0"/>
        <w:spacing w:line="340" w:lineRule="exact"/>
        <w:ind w:firstLine="420" w:firstLineChars="200"/>
        <w:outlineLvl w:val="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学生学习期满，经考核、评价，符合下列要求的，予以毕业：</w:t>
      </w:r>
    </w:p>
    <w:p>
      <w:pPr>
        <w:widowControl/>
        <w:overflowPunct w:val="0"/>
        <w:adjustRightInd w:val="0"/>
        <w:spacing w:line="340" w:lineRule="exact"/>
        <w:ind w:firstLine="420" w:firstLineChars="200"/>
        <w:outlineLvl w:val="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1.在校期间思想政治操行考核合格；</w:t>
      </w:r>
    </w:p>
    <w:p>
      <w:pPr>
        <w:widowControl/>
        <w:overflowPunct w:val="0"/>
        <w:adjustRightInd w:val="0"/>
        <w:spacing w:line="340" w:lineRule="exact"/>
        <w:ind w:firstLine="420" w:firstLineChars="200"/>
        <w:outlineLvl w:val="0"/>
        <w:rPr>
          <w:rFonts w:hint="eastAsia" w:ascii="仿宋" w:hAnsi="仿宋" w:eastAsia="仿宋" w:cs="仿宋"/>
          <w:lang w:val="en-US" w:eastAsia="zh-CN"/>
        </w:rPr>
      </w:pPr>
      <w:r>
        <w:rPr>
          <w:rFonts w:hint="eastAsia" w:ascii="仿宋" w:hAnsi="仿宋" w:eastAsia="仿宋" w:cs="仿宋"/>
          <w:color w:val="000000" w:themeColor="text1"/>
          <w:szCs w:val="21"/>
          <w14:textFill>
            <w14:solidFill>
              <w14:schemeClr w14:val="tx1"/>
            </w14:solidFill>
          </w14:textFill>
        </w:rPr>
        <w:t>2.完成学校实施性方案所制定的各教学环节活动，各门课程成绩考核合格；</w:t>
      </w:r>
    </w:p>
    <w:p>
      <w:pPr>
        <w:spacing w:line="340" w:lineRule="exact"/>
        <w:ind w:firstLine="420" w:firstLineChars="200"/>
        <w:jc w:val="left"/>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14:textFill>
            <w14:solidFill>
              <w14:schemeClr w14:val="tx1"/>
            </w14:solidFill>
          </w14:textFill>
        </w:rPr>
        <w:t>.修满学校实施性方案所规定的学分要求。</w:t>
      </w:r>
    </w:p>
    <w:p>
      <w:pPr>
        <w:spacing w:line="340" w:lineRule="exact"/>
        <w:jc w:val="left"/>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lang w:val="en-US" w:eastAsia="zh-CN"/>
          <w14:textFill>
            <w14:solidFill>
              <w14:schemeClr w14:val="tx1"/>
            </w14:solidFill>
          </w14:textFill>
        </w:rPr>
        <w:t>十、</w:t>
      </w:r>
      <w:r>
        <w:rPr>
          <w:rFonts w:hint="eastAsia" w:ascii="仿宋" w:hAnsi="仿宋" w:eastAsia="仿宋" w:cs="仿宋"/>
          <w:b/>
          <w:bCs/>
          <w:color w:val="000000" w:themeColor="text1"/>
          <w:szCs w:val="21"/>
          <w14:textFill>
            <w14:solidFill>
              <w14:schemeClr w14:val="tx1"/>
            </w14:solidFill>
          </w14:textFill>
        </w:rPr>
        <w:t>其他说明</w:t>
      </w:r>
    </w:p>
    <w:p>
      <w:pPr>
        <w:widowControl/>
        <w:spacing w:line="340" w:lineRule="exact"/>
        <w:ind w:firstLine="422" w:firstLineChars="200"/>
        <w:jc w:val="left"/>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 xml:space="preserve">（一）编制依据 </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1.《国家职业教育改革实施方案的通知》（国发〔2019〕4号）；</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2.《教育部关于职业院校专业人才培养方案制定与实施工作的指导意见》（教职成〔2019〕13号）；</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3.教育部颁《高等职业学校陶瓷设计与工艺专业教学标准》；</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说明：本方案参照高等职业学校陶瓷设计与工艺专业教学标准进行修订，对培养目标与培养规格进行了相应的调整与完善。</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4.《省政府办公厅关于深化产教融合的实施意见》（苏政办发〔2018〕48号）；</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5.《江苏联合职业技术学院关于专业人才培养方案制（修）订与实施工作的指导意见》（苏联院〔2019〕12号）；</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6.江苏联合职业技术学院《关于人才培养方案中公共基础课程安排建议（试行）的通知》</w:t>
      </w:r>
    </w:p>
    <w:p>
      <w:pPr>
        <w:widowControl/>
        <w:spacing w:line="340" w:lineRule="exact"/>
        <w:jc w:val="left"/>
        <w:rPr>
          <w:rFonts w:hint="eastAsia" w:ascii="仿宋" w:hAnsi="仿宋" w:eastAsia="仿宋" w:cs="仿宋"/>
          <w:color w:val="000000" w:themeColor="text1"/>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（苏联院教〔2020〕7号）</w:t>
      </w:r>
      <w:r>
        <w:rPr>
          <w:rFonts w:hint="eastAsia" w:ascii="仿宋" w:hAnsi="仿宋" w:eastAsia="仿宋" w:cs="仿宋"/>
          <w:color w:val="000000" w:themeColor="text1"/>
          <w:szCs w:val="21"/>
          <w:lang w:eastAsia="zh-CN"/>
          <w14:textFill>
            <w14:solidFill>
              <w14:schemeClr w14:val="tx1"/>
            </w14:solidFill>
          </w14:textFill>
        </w:rPr>
        <w:t>；</w:t>
      </w:r>
    </w:p>
    <w:p>
      <w:pPr>
        <w:widowControl/>
        <w:spacing w:line="340" w:lineRule="exact"/>
        <w:ind w:firstLine="420" w:firstLineChars="200"/>
        <w:jc w:val="left"/>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7.江苏联合职业技术学院《2021级艺术设计专业指导性人才培养方案》。</w:t>
      </w:r>
    </w:p>
    <w:p>
      <w:pPr>
        <w:widowControl/>
        <w:numPr>
          <w:ilvl w:val="0"/>
          <w:numId w:val="3"/>
        </w:numPr>
        <w:spacing w:line="340" w:lineRule="exact"/>
        <w:ind w:left="420" w:leftChars="200"/>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执行要求</w:t>
      </w:r>
    </w:p>
    <w:p>
      <w:pPr>
        <w:keepNext w:val="0"/>
        <w:keepLines w:val="0"/>
        <w:pageBreakBefore w:val="0"/>
        <w:kinsoku/>
        <w:wordWrap/>
        <w:overflowPunct w:val="0"/>
        <w:topLinePunct w:val="0"/>
        <w:autoSpaceDE/>
        <w:autoSpaceDN/>
        <w:bidi w:val="0"/>
        <w:adjustRightInd w:val="0"/>
        <w:spacing w:line="340" w:lineRule="exact"/>
        <w:ind w:firstLine="420" w:firstLineChars="200"/>
        <w:textAlignment w:val="auto"/>
        <w:outlineLvl w:val="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规范实施“4.5+0.5”人才培养模式，每学年教学时间40周，顶岗实习时间一般为6个月。前三年周学时为28课时，后两年周学时为26课时，顶岗实习一般按每周30学时计算。入学教育和军训安排在第一学期开学前开设，按每周30学时，计入实践课时。</w:t>
      </w:r>
    </w:p>
    <w:p>
      <w:pPr>
        <w:overflowPunct w:val="0"/>
        <w:adjustRightInd w:val="0"/>
        <w:spacing w:line="340" w:lineRule="exact"/>
        <w:ind w:firstLine="420" w:firstLineChars="200"/>
        <w:outlineLvl w:val="0"/>
        <w:rPr>
          <w:rFonts w:hint="eastAsia" w:ascii="仿宋" w:hAnsi="仿宋" w:eastAsia="仿宋" w:cs="仿宋"/>
          <w:color w:val="000000" w:themeColor="text1"/>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理论教学和实践教学按16学时计1学分（小数点后数字小于5则舍去、大于5则进一位）。军训、入学教育、专业技能实训课程、毕业设计（或毕业论文、毕业教育）、顶岗实习等，1周计30个学时、1个学分。鼓励将学生取得的行业企业认可度高的有关职业技能等级证书或已掌握的有关技术技能，按一定规则折算为学历教育相应学分。</w:t>
      </w:r>
      <w:r>
        <w:rPr>
          <w:rFonts w:hint="eastAsia" w:ascii="仿宋" w:hAnsi="仿宋" w:eastAsia="仿宋" w:cs="仿宋"/>
          <w:color w:val="000000" w:themeColor="text1"/>
          <w:szCs w:val="21"/>
          <w:lang w:val="en-US" w:eastAsia="zh-CN"/>
          <w14:textFill>
            <w14:solidFill>
              <w14:schemeClr w14:val="tx1"/>
            </w14:solidFill>
          </w14:textFill>
        </w:rPr>
        <w:t>鼓励学生</w:t>
      </w:r>
      <w:r>
        <w:rPr>
          <w:rFonts w:hint="eastAsia" w:ascii="仿宋" w:hAnsi="仿宋" w:eastAsia="仿宋" w:cs="仿宋"/>
          <w:color w:val="000000" w:themeColor="text1"/>
          <w:szCs w:val="21"/>
          <w14:textFill>
            <w14:solidFill>
              <w14:schemeClr w14:val="tx1"/>
            </w14:solidFill>
          </w14:textFill>
        </w:rPr>
        <w:t>参加技能大赛、创新创业大赛、社团等活动，取得的成绩可折算为学历教育相应学分</w:t>
      </w:r>
      <w:r>
        <w:rPr>
          <w:rFonts w:hint="eastAsia" w:ascii="仿宋" w:hAnsi="仿宋" w:eastAsia="仿宋" w:cs="仿宋"/>
          <w:color w:val="000000" w:themeColor="text1"/>
          <w:szCs w:val="21"/>
          <w:lang w:eastAsia="zh-CN"/>
          <w14:textFill>
            <w14:solidFill>
              <w14:schemeClr w14:val="tx1"/>
            </w14:solidFill>
          </w14:textFill>
        </w:rPr>
        <w:t>。</w:t>
      </w:r>
    </w:p>
    <w:p>
      <w:pPr>
        <w:widowControl/>
        <w:spacing w:line="360" w:lineRule="exact"/>
        <w:ind w:firstLine="315" w:firstLineChars="150"/>
        <w:rPr>
          <w:rFonts w:hint="eastAsia" w:ascii="仿宋" w:hAnsi="仿宋" w:eastAsia="仿宋" w:cs="仿宋"/>
        </w:rPr>
      </w:pPr>
      <w:r>
        <w:rPr>
          <w:rFonts w:hint="eastAsia" w:ascii="仿宋" w:hAnsi="仿宋" w:eastAsia="仿宋" w:cs="仿宋"/>
        </w:rPr>
        <w:t xml:space="preserve"> 3.本方案所附教学时间安排参照表（见附表）为制定实施性人才培养方案的参考依据，总学时为</w:t>
      </w:r>
      <w:r>
        <w:rPr>
          <w:rFonts w:hint="eastAsia" w:ascii="仿宋" w:hAnsi="仿宋" w:eastAsia="仿宋" w:cs="仿宋"/>
          <w:highlight w:val="none"/>
          <w:lang w:val="en-US" w:eastAsia="zh-CN"/>
        </w:rPr>
        <w:t>4755</w:t>
      </w:r>
      <w:r>
        <w:rPr>
          <w:rFonts w:hint="eastAsia" w:ascii="仿宋" w:hAnsi="仿宋" w:eastAsia="仿宋" w:cs="仿宋"/>
        </w:rPr>
        <w:t>，其中公共基础课1692学时，占</w:t>
      </w:r>
      <w:r>
        <w:rPr>
          <w:rFonts w:hint="eastAsia" w:ascii="仿宋" w:hAnsi="仿宋" w:eastAsia="仿宋" w:cs="仿宋"/>
          <w:highlight w:val="none"/>
        </w:rPr>
        <w:t>35.</w:t>
      </w:r>
      <w:r>
        <w:rPr>
          <w:rFonts w:hint="eastAsia" w:ascii="仿宋" w:hAnsi="仿宋" w:eastAsia="仿宋" w:cs="仿宋"/>
          <w:highlight w:val="none"/>
          <w:lang w:val="en-US" w:eastAsia="zh-CN"/>
        </w:rPr>
        <w:t>58</w:t>
      </w:r>
      <w:r>
        <w:rPr>
          <w:rFonts w:hint="eastAsia" w:ascii="仿宋" w:hAnsi="仿宋" w:eastAsia="仿宋" w:cs="仿宋"/>
          <w:highlight w:val="none"/>
        </w:rPr>
        <w:t>%</w:t>
      </w:r>
      <w:r>
        <w:rPr>
          <w:rFonts w:hint="eastAsia" w:ascii="仿宋" w:hAnsi="仿宋" w:eastAsia="仿宋" w:cs="仿宋"/>
        </w:rPr>
        <w:t>；专业技能课</w:t>
      </w:r>
      <w:r>
        <w:rPr>
          <w:rFonts w:hint="eastAsia" w:ascii="仿宋" w:hAnsi="仿宋" w:eastAsia="仿宋" w:cs="仿宋"/>
          <w:highlight w:val="none"/>
          <w:lang w:val="en-US" w:eastAsia="zh-CN"/>
        </w:rPr>
        <w:t>1618</w:t>
      </w:r>
      <w:r>
        <w:rPr>
          <w:rFonts w:hint="eastAsia" w:ascii="仿宋" w:hAnsi="仿宋" w:eastAsia="仿宋" w:cs="仿宋"/>
        </w:rPr>
        <w:t>学时，占</w:t>
      </w:r>
      <w:r>
        <w:rPr>
          <w:rFonts w:hint="eastAsia" w:ascii="仿宋" w:hAnsi="仿宋" w:eastAsia="仿宋" w:cs="仿宋"/>
          <w:highlight w:val="none"/>
          <w:lang w:val="en-US" w:eastAsia="zh-CN"/>
        </w:rPr>
        <w:t>34</w:t>
      </w:r>
      <w:r>
        <w:rPr>
          <w:rFonts w:hint="eastAsia" w:ascii="仿宋" w:hAnsi="仿宋" w:eastAsia="仿宋" w:cs="仿宋"/>
          <w:highlight w:val="none"/>
        </w:rPr>
        <w:t xml:space="preserve">% </w:t>
      </w:r>
      <w:r>
        <w:rPr>
          <w:rFonts w:hint="eastAsia" w:ascii="仿宋" w:hAnsi="仿宋" w:eastAsia="仿宋" w:cs="仿宋"/>
        </w:rPr>
        <w:t>；</w:t>
      </w:r>
      <w:r>
        <w:rPr>
          <w:rFonts w:hint="eastAsia" w:ascii="仿宋" w:hAnsi="仿宋" w:eastAsia="仿宋" w:cs="仿宋"/>
          <w:lang w:val="en-US" w:eastAsia="zh-CN"/>
        </w:rPr>
        <w:t>专业技能实训项目课程330学时，占</w:t>
      </w:r>
      <w:r>
        <w:rPr>
          <w:rFonts w:hint="eastAsia" w:ascii="仿宋" w:hAnsi="仿宋" w:eastAsia="仿宋" w:cs="仿宋"/>
          <w:highlight w:val="none"/>
          <w:lang w:val="en-US" w:eastAsia="zh-CN"/>
        </w:rPr>
        <w:t>6.9</w:t>
      </w:r>
      <w:r>
        <w:rPr>
          <w:rFonts w:hint="eastAsia" w:ascii="仿宋" w:hAnsi="仿宋" w:eastAsia="仿宋" w:cs="仿宋"/>
          <w:highlight w:val="none"/>
        </w:rPr>
        <w:t>%</w:t>
      </w:r>
      <w:r>
        <w:rPr>
          <w:rFonts w:hint="eastAsia" w:ascii="仿宋" w:hAnsi="仿宋" w:eastAsia="仿宋" w:cs="仿宋"/>
          <w:highlight w:val="none"/>
          <w:lang w:eastAsia="zh-CN"/>
        </w:rPr>
        <w:t>；</w:t>
      </w:r>
      <w:r>
        <w:rPr>
          <w:rFonts w:hint="eastAsia" w:ascii="仿宋" w:hAnsi="仿宋" w:eastAsia="仿宋" w:cs="仿宋"/>
          <w:highlight w:val="none"/>
          <w:lang w:val="en-US" w:eastAsia="zh-CN"/>
        </w:rPr>
        <w:t>集中实践课程540学时，占11.4%；</w:t>
      </w:r>
      <w:r>
        <w:rPr>
          <w:rFonts w:hint="eastAsia" w:ascii="仿宋" w:hAnsi="仿宋" w:eastAsia="仿宋" w:cs="仿宋"/>
        </w:rPr>
        <w:t>任意选修课</w:t>
      </w:r>
      <w:r>
        <w:rPr>
          <w:rFonts w:hint="eastAsia" w:ascii="仿宋" w:hAnsi="仿宋" w:eastAsia="仿宋" w:cs="仿宋"/>
          <w:lang w:val="en-US" w:eastAsia="zh-CN"/>
        </w:rPr>
        <w:t>507</w:t>
      </w:r>
      <w:r>
        <w:rPr>
          <w:rFonts w:hint="eastAsia" w:ascii="仿宋" w:hAnsi="仿宋" w:eastAsia="仿宋" w:cs="仿宋"/>
        </w:rPr>
        <w:t>学时，占总课时的</w:t>
      </w:r>
      <w:r>
        <w:rPr>
          <w:rFonts w:hint="eastAsia" w:ascii="仿宋" w:hAnsi="仿宋" w:eastAsia="仿宋" w:cs="仿宋"/>
          <w:highlight w:val="none"/>
          <w:lang w:val="en-US" w:eastAsia="zh-CN"/>
        </w:rPr>
        <w:t>10.66</w:t>
      </w:r>
      <w:r>
        <w:rPr>
          <w:rFonts w:hint="eastAsia" w:ascii="仿宋" w:hAnsi="仿宋" w:eastAsia="仿宋" w:cs="仿宋"/>
          <w:highlight w:val="none"/>
        </w:rPr>
        <w:t>%</w:t>
      </w:r>
      <w:r>
        <w:rPr>
          <w:rFonts w:hint="eastAsia" w:ascii="仿宋" w:hAnsi="仿宋" w:eastAsia="仿宋" w:cs="仿宋"/>
        </w:rPr>
        <w:t>；其他类教育活动</w:t>
      </w:r>
      <w:r>
        <w:rPr>
          <w:rFonts w:hint="eastAsia" w:ascii="仿宋" w:hAnsi="仿宋" w:eastAsia="仿宋" w:cs="仿宋"/>
          <w:highlight w:val="none"/>
          <w:lang w:val="en-US" w:eastAsia="zh-CN"/>
        </w:rPr>
        <w:t>68</w:t>
      </w:r>
      <w:r>
        <w:rPr>
          <w:rFonts w:hint="eastAsia" w:ascii="仿宋" w:hAnsi="仿宋" w:eastAsia="仿宋" w:cs="仿宋"/>
        </w:rPr>
        <w:t>学时，占</w:t>
      </w:r>
      <w:r>
        <w:rPr>
          <w:rFonts w:hint="eastAsia" w:ascii="仿宋" w:hAnsi="仿宋" w:eastAsia="仿宋" w:cs="仿宋"/>
          <w:highlight w:val="none"/>
          <w:lang w:val="en-US" w:eastAsia="zh-CN"/>
        </w:rPr>
        <w:t>1.5</w:t>
      </w:r>
      <w:r>
        <w:rPr>
          <w:rFonts w:hint="eastAsia" w:ascii="仿宋" w:hAnsi="仿宋" w:eastAsia="仿宋" w:cs="仿宋"/>
          <w:highlight w:val="none"/>
        </w:rPr>
        <w:t>%</w:t>
      </w:r>
      <w:r>
        <w:rPr>
          <w:rFonts w:hint="eastAsia" w:ascii="仿宋" w:hAnsi="仿宋" w:eastAsia="仿宋" w:cs="仿宋"/>
        </w:rPr>
        <w:t>。总学分</w:t>
      </w:r>
      <w:r>
        <w:rPr>
          <w:rFonts w:hint="eastAsia" w:ascii="仿宋" w:hAnsi="仿宋" w:eastAsia="仿宋" w:cs="仿宋"/>
          <w:highlight w:val="none"/>
          <w:lang w:val="en-US" w:eastAsia="zh-CN"/>
        </w:rPr>
        <w:t>270</w:t>
      </w:r>
      <w:r>
        <w:rPr>
          <w:rFonts w:hint="eastAsia" w:ascii="仿宋" w:hAnsi="仿宋" w:eastAsia="仿宋" w:cs="仿宋"/>
        </w:rPr>
        <w:t>学分。</w:t>
      </w:r>
    </w:p>
    <w:p>
      <w:pPr>
        <w:widowControl/>
        <w:spacing w:line="360" w:lineRule="exact"/>
        <w:ind w:firstLine="435"/>
        <w:jc w:val="left"/>
        <w:rPr>
          <w:rFonts w:hint="eastAsia" w:ascii="仿宋" w:hAnsi="仿宋" w:eastAsia="仿宋" w:cs="仿宋"/>
        </w:rPr>
      </w:pPr>
      <w:r>
        <w:rPr>
          <w:rFonts w:hint="eastAsia" w:ascii="仿宋" w:hAnsi="仿宋" w:eastAsia="仿宋" w:cs="仿宋"/>
        </w:rPr>
        <w:t>4.劳动教育课程设置，依据教育部要求，以实习实训课为主要载体开展劳动教育，其中劳动精神、劳模精神、工匠精神专题教育已达到16学时。</w:t>
      </w:r>
    </w:p>
    <w:p>
      <w:pPr>
        <w:widowControl/>
        <w:spacing w:line="360" w:lineRule="exact"/>
        <w:ind w:firstLine="435"/>
        <w:jc w:val="left"/>
        <w:rPr>
          <w:rFonts w:hint="eastAsia" w:ascii="仿宋" w:hAnsi="仿宋" w:eastAsia="仿宋" w:cs="仿宋"/>
          <w:b/>
          <w:bCs/>
          <w:color w:val="0000FF"/>
          <w:kern w:val="0"/>
          <w:szCs w:val="21"/>
        </w:rPr>
      </w:pPr>
      <w:r>
        <w:rPr>
          <w:rFonts w:hint="eastAsia" w:ascii="仿宋" w:hAnsi="仿宋" w:eastAsia="仿宋" w:cs="仿宋"/>
          <w:b/>
          <w:bCs/>
          <w:kern w:val="0"/>
          <w:szCs w:val="21"/>
        </w:rPr>
        <w:t>（三）研制团队</w:t>
      </w:r>
    </w:p>
    <w:p>
      <w:pPr>
        <w:widowControl/>
        <w:spacing w:line="360" w:lineRule="exact"/>
        <w:ind w:firstLine="525" w:firstLineChars="250"/>
        <w:jc w:val="left"/>
        <w:rPr>
          <w:rFonts w:hint="eastAsia" w:ascii="仿宋" w:hAnsi="仿宋" w:eastAsia="仿宋" w:cs="仿宋"/>
          <w:bCs/>
          <w:color w:val="000000"/>
          <w:kern w:val="0"/>
          <w:szCs w:val="21"/>
        </w:rPr>
      </w:pPr>
      <w:r>
        <w:rPr>
          <w:rFonts w:hint="eastAsia" w:ascii="仿宋" w:hAnsi="仿宋" w:eastAsia="仿宋" w:cs="仿宋"/>
          <w:bCs/>
          <w:color w:val="000000"/>
          <w:kern w:val="0"/>
          <w:szCs w:val="21"/>
        </w:rPr>
        <w:t>史冲     常州艺术分院</w:t>
      </w:r>
    </w:p>
    <w:p>
      <w:pPr>
        <w:widowControl/>
        <w:spacing w:line="360" w:lineRule="exact"/>
        <w:ind w:firstLine="525" w:firstLineChars="250"/>
        <w:jc w:val="left"/>
        <w:rPr>
          <w:rFonts w:hint="eastAsia" w:ascii="仿宋" w:hAnsi="仿宋" w:eastAsia="仿宋" w:cs="仿宋"/>
          <w:bCs/>
          <w:color w:val="000000"/>
          <w:kern w:val="0"/>
          <w:szCs w:val="21"/>
        </w:rPr>
      </w:pPr>
      <w:r>
        <w:rPr>
          <w:rFonts w:hint="eastAsia" w:ascii="仿宋" w:hAnsi="仿宋" w:eastAsia="仿宋" w:cs="仿宋"/>
          <w:bCs/>
          <w:color w:val="000000"/>
          <w:kern w:val="0"/>
          <w:szCs w:val="21"/>
          <w:lang w:eastAsia="zh-CN"/>
        </w:rPr>
        <w:t>徐军</w:t>
      </w:r>
      <w:r>
        <w:rPr>
          <w:rFonts w:hint="eastAsia" w:ascii="仿宋" w:hAnsi="仿宋" w:eastAsia="仿宋" w:cs="仿宋"/>
          <w:bCs/>
          <w:color w:val="000000"/>
          <w:kern w:val="0"/>
          <w:szCs w:val="21"/>
        </w:rPr>
        <w:t xml:space="preserve">     常州艺术分院</w:t>
      </w:r>
    </w:p>
    <w:p>
      <w:pPr>
        <w:widowControl/>
        <w:spacing w:line="360" w:lineRule="exact"/>
        <w:ind w:firstLine="525" w:firstLineChars="250"/>
        <w:jc w:val="left"/>
        <w:rPr>
          <w:rFonts w:hint="eastAsia" w:ascii="仿宋" w:hAnsi="仿宋" w:eastAsia="仿宋" w:cs="仿宋"/>
          <w:bCs/>
          <w:color w:val="000000"/>
          <w:kern w:val="0"/>
          <w:szCs w:val="21"/>
        </w:rPr>
      </w:pPr>
      <w:r>
        <w:rPr>
          <w:rFonts w:hint="eastAsia" w:ascii="仿宋" w:hAnsi="仿宋" w:eastAsia="仿宋" w:cs="仿宋"/>
          <w:bCs/>
          <w:color w:val="000000"/>
          <w:kern w:val="0"/>
          <w:szCs w:val="21"/>
          <w:lang w:val="en-US" w:eastAsia="zh-CN"/>
        </w:rPr>
        <w:t>石春林</w:t>
      </w:r>
      <w:r>
        <w:rPr>
          <w:rFonts w:hint="eastAsia" w:ascii="仿宋" w:hAnsi="仿宋" w:eastAsia="仿宋" w:cs="仿宋"/>
          <w:bCs/>
          <w:color w:val="000000"/>
          <w:kern w:val="0"/>
          <w:szCs w:val="21"/>
        </w:rPr>
        <w:tab/>
      </w:r>
      <w:r>
        <w:rPr>
          <w:rFonts w:hint="eastAsia" w:ascii="仿宋" w:hAnsi="仿宋" w:eastAsia="仿宋" w:cs="仿宋"/>
          <w:bCs/>
          <w:color w:val="000000"/>
          <w:kern w:val="0"/>
          <w:szCs w:val="21"/>
        </w:rPr>
        <w:t xml:space="preserve">  常州艺术分院</w:t>
      </w:r>
    </w:p>
    <w:p>
      <w:pPr>
        <w:widowControl/>
        <w:spacing w:line="360" w:lineRule="exact"/>
        <w:ind w:firstLine="525" w:firstLineChars="250"/>
        <w:jc w:val="left"/>
        <w:rPr>
          <w:rFonts w:hint="eastAsia" w:ascii="仿宋" w:hAnsi="仿宋" w:eastAsia="仿宋" w:cs="仿宋"/>
          <w:bCs/>
          <w:color w:val="000000"/>
          <w:kern w:val="0"/>
          <w:szCs w:val="21"/>
          <w:highlight w:val="none"/>
          <w:lang w:val="en-US" w:eastAsia="zh-CN"/>
        </w:rPr>
      </w:pPr>
      <w:r>
        <w:rPr>
          <w:rFonts w:hint="eastAsia" w:ascii="仿宋" w:hAnsi="仿宋" w:eastAsia="仿宋" w:cs="仿宋"/>
          <w:bCs/>
          <w:color w:val="000000"/>
          <w:kern w:val="0"/>
          <w:szCs w:val="21"/>
          <w:highlight w:val="none"/>
          <w:lang w:val="en-US" w:eastAsia="zh-CN"/>
        </w:rPr>
        <w:t xml:space="preserve">曾栋     </w:t>
      </w:r>
      <w:r>
        <w:rPr>
          <w:rFonts w:hint="eastAsia" w:ascii="仿宋" w:hAnsi="仿宋" w:eastAsia="仿宋" w:cs="仿宋"/>
          <w:bCs/>
          <w:color w:val="000000"/>
          <w:kern w:val="0"/>
          <w:szCs w:val="21"/>
        </w:rPr>
        <w:t>常州艺术分院</w:t>
      </w:r>
    </w:p>
    <w:p>
      <w:pPr>
        <w:widowControl/>
        <w:spacing w:line="360" w:lineRule="exact"/>
        <w:ind w:firstLine="525" w:firstLineChars="250"/>
        <w:jc w:val="left"/>
        <w:rPr>
          <w:rFonts w:hint="eastAsia" w:ascii="仿宋" w:hAnsi="仿宋" w:eastAsia="仿宋" w:cs="仿宋"/>
          <w:bCs/>
          <w:color w:val="000000"/>
          <w:kern w:val="0"/>
          <w:szCs w:val="21"/>
        </w:rPr>
      </w:pPr>
      <w:r>
        <w:rPr>
          <w:rFonts w:hint="eastAsia" w:ascii="仿宋" w:hAnsi="仿宋" w:eastAsia="仿宋" w:cs="仿宋"/>
          <w:bCs/>
          <w:color w:val="000000"/>
          <w:kern w:val="0"/>
          <w:szCs w:val="21"/>
          <w:highlight w:val="none"/>
          <w:lang w:val="en-US" w:eastAsia="zh-CN"/>
        </w:rPr>
        <w:t>张颖华</w:t>
      </w:r>
      <w:r>
        <w:rPr>
          <w:rFonts w:hint="eastAsia" w:ascii="仿宋" w:hAnsi="仿宋" w:eastAsia="仿宋" w:cs="仿宋"/>
          <w:bCs/>
          <w:color w:val="000000"/>
          <w:kern w:val="0"/>
          <w:szCs w:val="21"/>
        </w:rPr>
        <w:t xml:space="preserve">   常州艺术分院</w:t>
      </w:r>
    </w:p>
    <w:p>
      <w:pPr>
        <w:widowControl/>
        <w:spacing w:line="360" w:lineRule="exact"/>
        <w:ind w:firstLine="525" w:firstLineChars="250"/>
        <w:jc w:val="left"/>
        <w:rPr>
          <w:rFonts w:hint="eastAsia" w:ascii="仿宋" w:hAnsi="仿宋" w:eastAsia="仿宋" w:cs="仿宋"/>
          <w:bCs/>
          <w:color w:val="000000"/>
          <w:kern w:val="0"/>
          <w:szCs w:val="21"/>
          <w:lang w:val="en-US" w:eastAsia="zh-CN"/>
        </w:rPr>
      </w:pPr>
      <w:r>
        <w:rPr>
          <w:rFonts w:hint="eastAsia" w:ascii="仿宋" w:hAnsi="仿宋" w:eastAsia="仿宋" w:cs="仿宋"/>
          <w:bCs/>
          <w:color w:val="000000"/>
          <w:kern w:val="0"/>
          <w:szCs w:val="21"/>
          <w:lang w:val="en-US" w:eastAsia="zh-CN"/>
        </w:rPr>
        <w:t xml:space="preserve">周婧     </w:t>
      </w:r>
      <w:r>
        <w:rPr>
          <w:rFonts w:hint="eastAsia" w:ascii="仿宋" w:hAnsi="仿宋" w:eastAsia="仿宋" w:cs="仿宋"/>
          <w:bCs/>
          <w:color w:val="000000"/>
          <w:kern w:val="0"/>
          <w:szCs w:val="21"/>
        </w:rPr>
        <w:t>常州艺术分院</w:t>
      </w:r>
    </w:p>
    <w:p>
      <w:pPr>
        <w:widowControl/>
        <w:spacing w:line="360" w:lineRule="exact"/>
        <w:ind w:firstLine="527" w:firstLineChars="250"/>
        <w:jc w:val="left"/>
        <w:rPr>
          <w:rFonts w:hint="eastAsia" w:ascii="仿宋" w:hAnsi="仿宋" w:eastAsia="仿宋" w:cs="仿宋"/>
          <w:b/>
          <w:bCs/>
          <w:kern w:val="0"/>
          <w:szCs w:val="21"/>
        </w:rPr>
      </w:pPr>
      <w:r>
        <w:rPr>
          <w:rFonts w:hint="eastAsia" w:ascii="仿宋" w:hAnsi="仿宋" w:eastAsia="仿宋" w:cs="仿宋"/>
          <w:b/>
          <w:bCs/>
          <w:kern w:val="0"/>
          <w:szCs w:val="21"/>
        </w:rPr>
        <w:t>十一、附录</w:t>
      </w:r>
    </w:p>
    <w:p>
      <w:pPr>
        <w:widowControl/>
        <w:spacing w:line="360" w:lineRule="exact"/>
        <w:ind w:firstLine="630" w:firstLineChars="300"/>
        <w:jc w:val="left"/>
        <w:rPr>
          <w:rFonts w:ascii="仿宋" w:hAnsi="仿宋" w:eastAsia="仿宋" w:cs="仿宋"/>
          <w:bCs/>
        </w:rPr>
      </w:pPr>
      <w:r>
        <w:rPr>
          <w:rFonts w:hint="eastAsia" w:ascii="仿宋" w:hAnsi="仿宋" w:eastAsia="仿宋" w:cs="仿宋"/>
          <w:bCs/>
        </w:rPr>
        <w:t>教学进程安排表</w:t>
      </w:r>
    </w:p>
    <w:p>
      <w:pPr>
        <w:adjustRightInd w:val="0"/>
        <w:snapToGrid w:val="0"/>
        <w:spacing w:line="460" w:lineRule="exact"/>
        <w:outlineLvl w:val="0"/>
        <w:rPr>
          <w:rFonts w:asciiTheme="majorEastAsia" w:hAnsiTheme="majorEastAsia" w:eastAsiaTheme="majorEastAsia" w:cstheme="majorEastAsia"/>
          <w:b/>
          <w:bCs/>
          <w:color w:val="000000" w:themeColor="text1"/>
          <w:szCs w:val="21"/>
          <w14:textFill>
            <w14:solidFill>
              <w14:schemeClr w14:val="tx1"/>
            </w14:solidFill>
          </w14:textFill>
        </w:rPr>
      </w:pPr>
    </w:p>
    <w:sectPr>
      <w:headerReference r:id="rId3" w:type="default"/>
      <w:footerReference r:id="rId4"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rPr>
        <w:rStyle w:val="14"/>
      </w:rPr>
      <w:instrText xml:space="preserve"> PAGE </w:instrText>
    </w:r>
    <w:r>
      <w:fldChar w:fldCharType="separate"/>
    </w:r>
    <w:r>
      <w:rPr>
        <w:rStyle w:val="14"/>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7DE13"/>
    <w:multiLevelType w:val="singleLevel"/>
    <w:tmpl w:val="8027DE13"/>
    <w:lvl w:ilvl="0" w:tentative="0">
      <w:start w:val="3"/>
      <w:numFmt w:val="chineseCounting"/>
      <w:suff w:val="nothing"/>
      <w:lvlText w:val="%1、"/>
      <w:lvlJc w:val="left"/>
      <w:rPr>
        <w:rFonts w:hint="eastAsia"/>
      </w:rPr>
    </w:lvl>
  </w:abstractNum>
  <w:abstractNum w:abstractNumId="1">
    <w:nsid w:val="C38D5AA7"/>
    <w:multiLevelType w:val="singleLevel"/>
    <w:tmpl w:val="C38D5AA7"/>
    <w:lvl w:ilvl="0" w:tentative="0">
      <w:start w:val="2"/>
      <w:numFmt w:val="chineseCounting"/>
      <w:suff w:val="nothing"/>
      <w:lvlText w:val="（%1）"/>
      <w:lvlJc w:val="left"/>
      <w:rPr>
        <w:rFonts w:hint="eastAsia"/>
      </w:rPr>
    </w:lvl>
  </w:abstractNum>
  <w:abstractNum w:abstractNumId="2">
    <w:nsid w:val="17EA0436"/>
    <w:multiLevelType w:val="singleLevel"/>
    <w:tmpl w:val="17EA0436"/>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D9A"/>
    <w:rsid w:val="00013B5D"/>
    <w:rsid w:val="00027178"/>
    <w:rsid w:val="000B47A8"/>
    <w:rsid w:val="000C52E7"/>
    <w:rsid w:val="000C6943"/>
    <w:rsid w:val="000E4F53"/>
    <w:rsid w:val="00105F2D"/>
    <w:rsid w:val="0011244D"/>
    <w:rsid w:val="00135A7B"/>
    <w:rsid w:val="00163B3A"/>
    <w:rsid w:val="00167E55"/>
    <w:rsid w:val="00172A27"/>
    <w:rsid w:val="00193A04"/>
    <w:rsid w:val="001B0DAD"/>
    <w:rsid w:val="001C165F"/>
    <w:rsid w:val="00200A74"/>
    <w:rsid w:val="0024020C"/>
    <w:rsid w:val="002A6148"/>
    <w:rsid w:val="002D48CF"/>
    <w:rsid w:val="00333E4B"/>
    <w:rsid w:val="00350F17"/>
    <w:rsid w:val="00353E2B"/>
    <w:rsid w:val="003C571D"/>
    <w:rsid w:val="003F01A6"/>
    <w:rsid w:val="00457236"/>
    <w:rsid w:val="00465E8F"/>
    <w:rsid w:val="004711A4"/>
    <w:rsid w:val="00501645"/>
    <w:rsid w:val="00533216"/>
    <w:rsid w:val="00537CED"/>
    <w:rsid w:val="005E33E9"/>
    <w:rsid w:val="005F1286"/>
    <w:rsid w:val="005F2D81"/>
    <w:rsid w:val="0066389E"/>
    <w:rsid w:val="00810A02"/>
    <w:rsid w:val="00841981"/>
    <w:rsid w:val="00862FA5"/>
    <w:rsid w:val="008D39BF"/>
    <w:rsid w:val="008F1623"/>
    <w:rsid w:val="00920EE4"/>
    <w:rsid w:val="009302F6"/>
    <w:rsid w:val="00933A12"/>
    <w:rsid w:val="009440BA"/>
    <w:rsid w:val="00956AA4"/>
    <w:rsid w:val="00992DF0"/>
    <w:rsid w:val="009A2136"/>
    <w:rsid w:val="009B0A79"/>
    <w:rsid w:val="009C7416"/>
    <w:rsid w:val="009D7C90"/>
    <w:rsid w:val="009E76C4"/>
    <w:rsid w:val="00A044E8"/>
    <w:rsid w:val="00A1102D"/>
    <w:rsid w:val="00A27BED"/>
    <w:rsid w:val="00A309DE"/>
    <w:rsid w:val="00A31C9A"/>
    <w:rsid w:val="00A427AD"/>
    <w:rsid w:val="00A524E1"/>
    <w:rsid w:val="00A6399F"/>
    <w:rsid w:val="00A85203"/>
    <w:rsid w:val="00AC54DE"/>
    <w:rsid w:val="00AF0F8E"/>
    <w:rsid w:val="00B50882"/>
    <w:rsid w:val="00B61CB3"/>
    <w:rsid w:val="00B63D3E"/>
    <w:rsid w:val="00B96297"/>
    <w:rsid w:val="00BC316A"/>
    <w:rsid w:val="00C525CD"/>
    <w:rsid w:val="00C5566E"/>
    <w:rsid w:val="00CB053E"/>
    <w:rsid w:val="00CC21F7"/>
    <w:rsid w:val="00D33591"/>
    <w:rsid w:val="00D9780D"/>
    <w:rsid w:val="00DA0B31"/>
    <w:rsid w:val="00DE577A"/>
    <w:rsid w:val="00E240B0"/>
    <w:rsid w:val="00EB299A"/>
    <w:rsid w:val="00EC1A9C"/>
    <w:rsid w:val="00F05954"/>
    <w:rsid w:val="00F751F6"/>
    <w:rsid w:val="00F83638"/>
    <w:rsid w:val="00F85F84"/>
    <w:rsid w:val="00FD7D50"/>
    <w:rsid w:val="00FF4183"/>
    <w:rsid w:val="0144597D"/>
    <w:rsid w:val="02285529"/>
    <w:rsid w:val="02620B38"/>
    <w:rsid w:val="027273E9"/>
    <w:rsid w:val="02795C17"/>
    <w:rsid w:val="02AF33DC"/>
    <w:rsid w:val="02C35045"/>
    <w:rsid w:val="02D71CF8"/>
    <w:rsid w:val="03090B5B"/>
    <w:rsid w:val="03107F73"/>
    <w:rsid w:val="03694345"/>
    <w:rsid w:val="03D44A45"/>
    <w:rsid w:val="044C76EA"/>
    <w:rsid w:val="047A792D"/>
    <w:rsid w:val="04F94EF8"/>
    <w:rsid w:val="053106B9"/>
    <w:rsid w:val="057C31A4"/>
    <w:rsid w:val="059A24A5"/>
    <w:rsid w:val="06B14598"/>
    <w:rsid w:val="06B508EE"/>
    <w:rsid w:val="06BB5D90"/>
    <w:rsid w:val="06E361A9"/>
    <w:rsid w:val="07182EA0"/>
    <w:rsid w:val="07F576BC"/>
    <w:rsid w:val="08894190"/>
    <w:rsid w:val="089C7341"/>
    <w:rsid w:val="08E079B4"/>
    <w:rsid w:val="08E3724B"/>
    <w:rsid w:val="09253EE3"/>
    <w:rsid w:val="09513D80"/>
    <w:rsid w:val="097A5186"/>
    <w:rsid w:val="0A212E67"/>
    <w:rsid w:val="0A5D3A66"/>
    <w:rsid w:val="0A703941"/>
    <w:rsid w:val="0AD30E1B"/>
    <w:rsid w:val="0B012CDF"/>
    <w:rsid w:val="0B1E19B8"/>
    <w:rsid w:val="0B4537EF"/>
    <w:rsid w:val="0B4A3E52"/>
    <w:rsid w:val="0B506CC9"/>
    <w:rsid w:val="0B7D2623"/>
    <w:rsid w:val="0BCE7A20"/>
    <w:rsid w:val="0C062233"/>
    <w:rsid w:val="0C092BE7"/>
    <w:rsid w:val="0C441487"/>
    <w:rsid w:val="0C9036D9"/>
    <w:rsid w:val="0C956EFB"/>
    <w:rsid w:val="0C9759ED"/>
    <w:rsid w:val="0CCF5AC1"/>
    <w:rsid w:val="0CE345BE"/>
    <w:rsid w:val="0DA55B3C"/>
    <w:rsid w:val="0E2E3C05"/>
    <w:rsid w:val="0E724B50"/>
    <w:rsid w:val="0E9157ED"/>
    <w:rsid w:val="0EF440BD"/>
    <w:rsid w:val="0F033E3F"/>
    <w:rsid w:val="0F1B26A9"/>
    <w:rsid w:val="0F2C3A7D"/>
    <w:rsid w:val="0F37582B"/>
    <w:rsid w:val="0FB22CD7"/>
    <w:rsid w:val="0FD845BF"/>
    <w:rsid w:val="0FEB7311"/>
    <w:rsid w:val="10340CFA"/>
    <w:rsid w:val="105E744D"/>
    <w:rsid w:val="10F066F2"/>
    <w:rsid w:val="10FF3B84"/>
    <w:rsid w:val="11484F0E"/>
    <w:rsid w:val="11815526"/>
    <w:rsid w:val="118B33E8"/>
    <w:rsid w:val="11FE0436"/>
    <w:rsid w:val="1228088C"/>
    <w:rsid w:val="12616319"/>
    <w:rsid w:val="12EA4FE8"/>
    <w:rsid w:val="12F673B2"/>
    <w:rsid w:val="13CB3F29"/>
    <w:rsid w:val="13D514F9"/>
    <w:rsid w:val="13E55E6C"/>
    <w:rsid w:val="140B427F"/>
    <w:rsid w:val="14126CDE"/>
    <w:rsid w:val="143301B5"/>
    <w:rsid w:val="145450E7"/>
    <w:rsid w:val="14E76139"/>
    <w:rsid w:val="14F74C46"/>
    <w:rsid w:val="15001165"/>
    <w:rsid w:val="155B4528"/>
    <w:rsid w:val="162A47EB"/>
    <w:rsid w:val="162E4CD3"/>
    <w:rsid w:val="1675798C"/>
    <w:rsid w:val="16AC1D55"/>
    <w:rsid w:val="16D4528D"/>
    <w:rsid w:val="16D45E4E"/>
    <w:rsid w:val="16D72E84"/>
    <w:rsid w:val="16E36EAE"/>
    <w:rsid w:val="16F53597"/>
    <w:rsid w:val="1768706F"/>
    <w:rsid w:val="17775D55"/>
    <w:rsid w:val="18231F92"/>
    <w:rsid w:val="18526F84"/>
    <w:rsid w:val="18550566"/>
    <w:rsid w:val="18F9456A"/>
    <w:rsid w:val="19153791"/>
    <w:rsid w:val="19887FE5"/>
    <w:rsid w:val="198A4465"/>
    <w:rsid w:val="19B505D1"/>
    <w:rsid w:val="19F11F73"/>
    <w:rsid w:val="19FA22AD"/>
    <w:rsid w:val="1A0A6B1B"/>
    <w:rsid w:val="1A545046"/>
    <w:rsid w:val="1A5C5B34"/>
    <w:rsid w:val="1A8848FC"/>
    <w:rsid w:val="1AF20384"/>
    <w:rsid w:val="1B20091B"/>
    <w:rsid w:val="1B9C1ECD"/>
    <w:rsid w:val="1BBF5A0B"/>
    <w:rsid w:val="1BDD087B"/>
    <w:rsid w:val="1BDE4A0F"/>
    <w:rsid w:val="1D093D96"/>
    <w:rsid w:val="1D510B04"/>
    <w:rsid w:val="1D703DE4"/>
    <w:rsid w:val="1E465208"/>
    <w:rsid w:val="1E497B33"/>
    <w:rsid w:val="1E5870C2"/>
    <w:rsid w:val="1E8835D5"/>
    <w:rsid w:val="1EA04EDE"/>
    <w:rsid w:val="1EAC29FA"/>
    <w:rsid w:val="1F3926B0"/>
    <w:rsid w:val="1F5F31E3"/>
    <w:rsid w:val="2053334E"/>
    <w:rsid w:val="20647FEF"/>
    <w:rsid w:val="209A46B3"/>
    <w:rsid w:val="210D6F13"/>
    <w:rsid w:val="21143D5F"/>
    <w:rsid w:val="21847239"/>
    <w:rsid w:val="21E51F4A"/>
    <w:rsid w:val="21FE5589"/>
    <w:rsid w:val="221F5CF7"/>
    <w:rsid w:val="224D2391"/>
    <w:rsid w:val="226C4F46"/>
    <w:rsid w:val="22923764"/>
    <w:rsid w:val="22C31F41"/>
    <w:rsid w:val="234C4E25"/>
    <w:rsid w:val="235D5B47"/>
    <w:rsid w:val="238A5A52"/>
    <w:rsid w:val="238D1AF2"/>
    <w:rsid w:val="239E5042"/>
    <w:rsid w:val="23B40E55"/>
    <w:rsid w:val="23BF2A33"/>
    <w:rsid w:val="23F64FD0"/>
    <w:rsid w:val="24D90B1E"/>
    <w:rsid w:val="24FD722D"/>
    <w:rsid w:val="256473D2"/>
    <w:rsid w:val="25A90360"/>
    <w:rsid w:val="260E78EE"/>
    <w:rsid w:val="264A548B"/>
    <w:rsid w:val="266A35D5"/>
    <w:rsid w:val="26CA22AE"/>
    <w:rsid w:val="26FF642A"/>
    <w:rsid w:val="26FF7DA5"/>
    <w:rsid w:val="279201CC"/>
    <w:rsid w:val="27C8388F"/>
    <w:rsid w:val="27E20F8A"/>
    <w:rsid w:val="27FE5F19"/>
    <w:rsid w:val="286C16CB"/>
    <w:rsid w:val="29836610"/>
    <w:rsid w:val="29B62EAB"/>
    <w:rsid w:val="29D91CAB"/>
    <w:rsid w:val="2A250283"/>
    <w:rsid w:val="2A8401E0"/>
    <w:rsid w:val="2AC9670C"/>
    <w:rsid w:val="2B551E7D"/>
    <w:rsid w:val="2B797C90"/>
    <w:rsid w:val="2BA32855"/>
    <w:rsid w:val="2BDB4820"/>
    <w:rsid w:val="2C052017"/>
    <w:rsid w:val="2C44739A"/>
    <w:rsid w:val="2C54612B"/>
    <w:rsid w:val="2D0458E2"/>
    <w:rsid w:val="2D250C66"/>
    <w:rsid w:val="2D663564"/>
    <w:rsid w:val="2D8A32F5"/>
    <w:rsid w:val="2DB266CE"/>
    <w:rsid w:val="2E6F78C6"/>
    <w:rsid w:val="2EA14AFB"/>
    <w:rsid w:val="2ECD4D37"/>
    <w:rsid w:val="2F4565FA"/>
    <w:rsid w:val="2F844292"/>
    <w:rsid w:val="301D5319"/>
    <w:rsid w:val="30312137"/>
    <w:rsid w:val="303E0EC4"/>
    <w:rsid w:val="3049395E"/>
    <w:rsid w:val="305A1EC4"/>
    <w:rsid w:val="31080F9E"/>
    <w:rsid w:val="312F050A"/>
    <w:rsid w:val="31874D95"/>
    <w:rsid w:val="31D62997"/>
    <w:rsid w:val="320F687D"/>
    <w:rsid w:val="32C519EA"/>
    <w:rsid w:val="33160FDE"/>
    <w:rsid w:val="332C5240"/>
    <w:rsid w:val="33430E6B"/>
    <w:rsid w:val="33875B3F"/>
    <w:rsid w:val="33AA7E51"/>
    <w:rsid w:val="33B950FC"/>
    <w:rsid w:val="342C021D"/>
    <w:rsid w:val="343A3549"/>
    <w:rsid w:val="34627D31"/>
    <w:rsid w:val="34B95B35"/>
    <w:rsid w:val="34BC4DA4"/>
    <w:rsid w:val="34E03AB1"/>
    <w:rsid w:val="34F039D3"/>
    <w:rsid w:val="353B1F6E"/>
    <w:rsid w:val="368136A2"/>
    <w:rsid w:val="36E52F05"/>
    <w:rsid w:val="37446898"/>
    <w:rsid w:val="374C782C"/>
    <w:rsid w:val="37957B0C"/>
    <w:rsid w:val="37A6549A"/>
    <w:rsid w:val="37EA65FD"/>
    <w:rsid w:val="38427331"/>
    <w:rsid w:val="38870323"/>
    <w:rsid w:val="389F51E6"/>
    <w:rsid w:val="38A56737"/>
    <w:rsid w:val="38CD0CE7"/>
    <w:rsid w:val="39436AC9"/>
    <w:rsid w:val="39FC56D2"/>
    <w:rsid w:val="3A386A54"/>
    <w:rsid w:val="3B2E74C4"/>
    <w:rsid w:val="3B2F02C0"/>
    <w:rsid w:val="3B643427"/>
    <w:rsid w:val="3BBB18FE"/>
    <w:rsid w:val="3C152A0A"/>
    <w:rsid w:val="3C1E78A9"/>
    <w:rsid w:val="3C2E7823"/>
    <w:rsid w:val="3C482D14"/>
    <w:rsid w:val="3C9505DD"/>
    <w:rsid w:val="3CAE1254"/>
    <w:rsid w:val="3CB82D26"/>
    <w:rsid w:val="3CC32CB9"/>
    <w:rsid w:val="3CED5629"/>
    <w:rsid w:val="3CF80D49"/>
    <w:rsid w:val="3D577F9B"/>
    <w:rsid w:val="3D5E6CB4"/>
    <w:rsid w:val="3D6F06FB"/>
    <w:rsid w:val="3D8D4418"/>
    <w:rsid w:val="3DCA3FC3"/>
    <w:rsid w:val="3DF64683"/>
    <w:rsid w:val="3E3B0F10"/>
    <w:rsid w:val="3E41473A"/>
    <w:rsid w:val="3E560CD1"/>
    <w:rsid w:val="3E716AE0"/>
    <w:rsid w:val="3E840D25"/>
    <w:rsid w:val="3EA240B5"/>
    <w:rsid w:val="3EB37523"/>
    <w:rsid w:val="3EB53236"/>
    <w:rsid w:val="3F0735F9"/>
    <w:rsid w:val="3F115437"/>
    <w:rsid w:val="3F1E3348"/>
    <w:rsid w:val="3F5D23FD"/>
    <w:rsid w:val="3F7737EF"/>
    <w:rsid w:val="3FB57680"/>
    <w:rsid w:val="3FD21E12"/>
    <w:rsid w:val="401B6097"/>
    <w:rsid w:val="406109FF"/>
    <w:rsid w:val="40743574"/>
    <w:rsid w:val="40D51DEE"/>
    <w:rsid w:val="40E43694"/>
    <w:rsid w:val="41177418"/>
    <w:rsid w:val="41686111"/>
    <w:rsid w:val="416A65C5"/>
    <w:rsid w:val="416E5F26"/>
    <w:rsid w:val="419A23AB"/>
    <w:rsid w:val="419E4968"/>
    <w:rsid w:val="41D86D7F"/>
    <w:rsid w:val="41EA4233"/>
    <w:rsid w:val="42A62136"/>
    <w:rsid w:val="42D97C14"/>
    <w:rsid w:val="43030069"/>
    <w:rsid w:val="43652655"/>
    <w:rsid w:val="43781894"/>
    <w:rsid w:val="438C602D"/>
    <w:rsid w:val="441F7877"/>
    <w:rsid w:val="44227E60"/>
    <w:rsid w:val="44356ADA"/>
    <w:rsid w:val="44547B0F"/>
    <w:rsid w:val="44673D7A"/>
    <w:rsid w:val="446850C1"/>
    <w:rsid w:val="44E70B2D"/>
    <w:rsid w:val="45224E83"/>
    <w:rsid w:val="45517586"/>
    <w:rsid w:val="45785075"/>
    <w:rsid w:val="46023B29"/>
    <w:rsid w:val="46804B62"/>
    <w:rsid w:val="46C053E3"/>
    <w:rsid w:val="46C1693C"/>
    <w:rsid w:val="471C11BD"/>
    <w:rsid w:val="47284491"/>
    <w:rsid w:val="474E44A4"/>
    <w:rsid w:val="4776481B"/>
    <w:rsid w:val="47AB7080"/>
    <w:rsid w:val="47B703C6"/>
    <w:rsid w:val="47C83AFF"/>
    <w:rsid w:val="482728DC"/>
    <w:rsid w:val="48403232"/>
    <w:rsid w:val="48502C79"/>
    <w:rsid w:val="48643218"/>
    <w:rsid w:val="48663853"/>
    <w:rsid w:val="48770C08"/>
    <w:rsid w:val="48DE2AE5"/>
    <w:rsid w:val="490045B6"/>
    <w:rsid w:val="49241D6F"/>
    <w:rsid w:val="49606598"/>
    <w:rsid w:val="498B7C3E"/>
    <w:rsid w:val="49DB64A6"/>
    <w:rsid w:val="49DF4537"/>
    <w:rsid w:val="4A106AF3"/>
    <w:rsid w:val="4A8E182A"/>
    <w:rsid w:val="4B176B5E"/>
    <w:rsid w:val="4B3135E8"/>
    <w:rsid w:val="4B3546A5"/>
    <w:rsid w:val="4B41785F"/>
    <w:rsid w:val="4B5E604B"/>
    <w:rsid w:val="4BF27F25"/>
    <w:rsid w:val="4C5B794B"/>
    <w:rsid w:val="4C6A02B0"/>
    <w:rsid w:val="4CAC2037"/>
    <w:rsid w:val="4CBD703A"/>
    <w:rsid w:val="4CD31EAB"/>
    <w:rsid w:val="4D015593"/>
    <w:rsid w:val="4D9C0C79"/>
    <w:rsid w:val="4DBF0B95"/>
    <w:rsid w:val="4EE073D7"/>
    <w:rsid w:val="4F053BA4"/>
    <w:rsid w:val="4F1607D3"/>
    <w:rsid w:val="4F37343A"/>
    <w:rsid w:val="4F5D5718"/>
    <w:rsid w:val="4F9D76C6"/>
    <w:rsid w:val="4F9E7788"/>
    <w:rsid w:val="502B3078"/>
    <w:rsid w:val="50720481"/>
    <w:rsid w:val="507D0271"/>
    <w:rsid w:val="50E17894"/>
    <w:rsid w:val="51727850"/>
    <w:rsid w:val="518E6C0F"/>
    <w:rsid w:val="519408E3"/>
    <w:rsid w:val="520B39FA"/>
    <w:rsid w:val="52667D37"/>
    <w:rsid w:val="526D5522"/>
    <w:rsid w:val="52931D0D"/>
    <w:rsid w:val="52DA7BAC"/>
    <w:rsid w:val="537569AF"/>
    <w:rsid w:val="538177B4"/>
    <w:rsid w:val="53B00660"/>
    <w:rsid w:val="53B65CFF"/>
    <w:rsid w:val="53BC6555"/>
    <w:rsid w:val="53C10B1F"/>
    <w:rsid w:val="53D82AF4"/>
    <w:rsid w:val="546722C7"/>
    <w:rsid w:val="54944BD3"/>
    <w:rsid w:val="54D9185C"/>
    <w:rsid w:val="55054914"/>
    <w:rsid w:val="552573F6"/>
    <w:rsid w:val="55E220AB"/>
    <w:rsid w:val="55E24C5A"/>
    <w:rsid w:val="55FB6FEB"/>
    <w:rsid w:val="56195452"/>
    <w:rsid w:val="564A6D77"/>
    <w:rsid w:val="56915297"/>
    <w:rsid w:val="56B52CE5"/>
    <w:rsid w:val="56C70DCD"/>
    <w:rsid w:val="56EA646F"/>
    <w:rsid w:val="57AD1F7D"/>
    <w:rsid w:val="57DE53EF"/>
    <w:rsid w:val="57F26CBB"/>
    <w:rsid w:val="582C278B"/>
    <w:rsid w:val="58B878ED"/>
    <w:rsid w:val="58EC561F"/>
    <w:rsid w:val="590A1F1E"/>
    <w:rsid w:val="595F5990"/>
    <w:rsid w:val="59C428A6"/>
    <w:rsid w:val="59CC446C"/>
    <w:rsid w:val="5A133DA8"/>
    <w:rsid w:val="5A886689"/>
    <w:rsid w:val="5A9B066E"/>
    <w:rsid w:val="5B280B54"/>
    <w:rsid w:val="5B706FC0"/>
    <w:rsid w:val="5BA85D12"/>
    <w:rsid w:val="5C0F7486"/>
    <w:rsid w:val="5C463C6A"/>
    <w:rsid w:val="5C573F62"/>
    <w:rsid w:val="5C953EBA"/>
    <w:rsid w:val="5D8A320B"/>
    <w:rsid w:val="5DF008AD"/>
    <w:rsid w:val="5E4F6E49"/>
    <w:rsid w:val="5E92074E"/>
    <w:rsid w:val="5F001FA9"/>
    <w:rsid w:val="5F821E08"/>
    <w:rsid w:val="5FA1408F"/>
    <w:rsid w:val="60131030"/>
    <w:rsid w:val="60792EE9"/>
    <w:rsid w:val="60972595"/>
    <w:rsid w:val="60E14B47"/>
    <w:rsid w:val="60E45BA3"/>
    <w:rsid w:val="61243626"/>
    <w:rsid w:val="61591F68"/>
    <w:rsid w:val="617E6847"/>
    <w:rsid w:val="61AE6C33"/>
    <w:rsid w:val="620F63D4"/>
    <w:rsid w:val="62226991"/>
    <w:rsid w:val="62825428"/>
    <w:rsid w:val="62AF1EDE"/>
    <w:rsid w:val="63F31C2C"/>
    <w:rsid w:val="640800AD"/>
    <w:rsid w:val="643B4B55"/>
    <w:rsid w:val="64605924"/>
    <w:rsid w:val="646D09C6"/>
    <w:rsid w:val="65127F3D"/>
    <w:rsid w:val="651F468B"/>
    <w:rsid w:val="653623BD"/>
    <w:rsid w:val="654B3CD7"/>
    <w:rsid w:val="656A158B"/>
    <w:rsid w:val="658746EE"/>
    <w:rsid w:val="65B7794F"/>
    <w:rsid w:val="663F168B"/>
    <w:rsid w:val="663F1E9B"/>
    <w:rsid w:val="66593F7F"/>
    <w:rsid w:val="666A35CC"/>
    <w:rsid w:val="66A56290"/>
    <w:rsid w:val="66AB4117"/>
    <w:rsid w:val="66B95B31"/>
    <w:rsid w:val="66F16416"/>
    <w:rsid w:val="67205FBD"/>
    <w:rsid w:val="67455138"/>
    <w:rsid w:val="67861035"/>
    <w:rsid w:val="67973FE6"/>
    <w:rsid w:val="67F828D7"/>
    <w:rsid w:val="680046E5"/>
    <w:rsid w:val="680F6D72"/>
    <w:rsid w:val="68606A7D"/>
    <w:rsid w:val="689E35CA"/>
    <w:rsid w:val="68AE1018"/>
    <w:rsid w:val="68C40EA6"/>
    <w:rsid w:val="691B5667"/>
    <w:rsid w:val="692D5649"/>
    <w:rsid w:val="694161C6"/>
    <w:rsid w:val="699E59DC"/>
    <w:rsid w:val="69C046AF"/>
    <w:rsid w:val="69D225FF"/>
    <w:rsid w:val="69DA4FD4"/>
    <w:rsid w:val="6A3E69D7"/>
    <w:rsid w:val="6AA433C5"/>
    <w:rsid w:val="6B1676DF"/>
    <w:rsid w:val="6B602D40"/>
    <w:rsid w:val="6B7D4F09"/>
    <w:rsid w:val="6B89579D"/>
    <w:rsid w:val="6BBB6F8C"/>
    <w:rsid w:val="6C441373"/>
    <w:rsid w:val="6C624BBA"/>
    <w:rsid w:val="6C7F2C32"/>
    <w:rsid w:val="6D0A2634"/>
    <w:rsid w:val="6D136028"/>
    <w:rsid w:val="6DAC6C78"/>
    <w:rsid w:val="6DAF49F1"/>
    <w:rsid w:val="6DBB076F"/>
    <w:rsid w:val="6DD105B5"/>
    <w:rsid w:val="6E250A8B"/>
    <w:rsid w:val="6E321B69"/>
    <w:rsid w:val="6E3F38F7"/>
    <w:rsid w:val="6E6517F9"/>
    <w:rsid w:val="6E7E2E06"/>
    <w:rsid w:val="6E904CEE"/>
    <w:rsid w:val="6EE37D6F"/>
    <w:rsid w:val="6F06430C"/>
    <w:rsid w:val="6F1846B9"/>
    <w:rsid w:val="6F1F385B"/>
    <w:rsid w:val="6F5C5313"/>
    <w:rsid w:val="6F7E1B32"/>
    <w:rsid w:val="6FC74FB3"/>
    <w:rsid w:val="6FF624AD"/>
    <w:rsid w:val="70E242E8"/>
    <w:rsid w:val="71047882"/>
    <w:rsid w:val="71091AA7"/>
    <w:rsid w:val="71141E0E"/>
    <w:rsid w:val="711D586D"/>
    <w:rsid w:val="714A3B0D"/>
    <w:rsid w:val="719602F8"/>
    <w:rsid w:val="71E3098B"/>
    <w:rsid w:val="72124F88"/>
    <w:rsid w:val="72263B8A"/>
    <w:rsid w:val="72270406"/>
    <w:rsid w:val="72C550B6"/>
    <w:rsid w:val="72C94454"/>
    <w:rsid w:val="72CE0246"/>
    <w:rsid w:val="74064456"/>
    <w:rsid w:val="74673A11"/>
    <w:rsid w:val="749C6ECF"/>
    <w:rsid w:val="749D181D"/>
    <w:rsid w:val="74D77332"/>
    <w:rsid w:val="756B4D0A"/>
    <w:rsid w:val="758C1477"/>
    <w:rsid w:val="75E55C61"/>
    <w:rsid w:val="75F47B1C"/>
    <w:rsid w:val="76074498"/>
    <w:rsid w:val="76130DF0"/>
    <w:rsid w:val="76A23402"/>
    <w:rsid w:val="76C16A3E"/>
    <w:rsid w:val="76CF71DD"/>
    <w:rsid w:val="773A77CF"/>
    <w:rsid w:val="777E0DBA"/>
    <w:rsid w:val="77D929DA"/>
    <w:rsid w:val="78026FCA"/>
    <w:rsid w:val="786320B5"/>
    <w:rsid w:val="787F501B"/>
    <w:rsid w:val="78A5279C"/>
    <w:rsid w:val="791C2447"/>
    <w:rsid w:val="792932B4"/>
    <w:rsid w:val="79826F15"/>
    <w:rsid w:val="79D024CE"/>
    <w:rsid w:val="7A182A49"/>
    <w:rsid w:val="7AA826E1"/>
    <w:rsid w:val="7AF449B3"/>
    <w:rsid w:val="7B884937"/>
    <w:rsid w:val="7B967BEC"/>
    <w:rsid w:val="7BAE2754"/>
    <w:rsid w:val="7BB25029"/>
    <w:rsid w:val="7BC24C80"/>
    <w:rsid w:val="7BEE4738"/>
    <w:rsid w:val="7BF06A11"/>
    <w:rsid w:val="7C3D1035"/>
    <w:rsid w:val="7C5C013F"/>
    <w:rsid w:val="7C6C1373"/>
    <w:rsid w:val="7DA43C98"/>
    <w:rsid w:val="7DD4137D"/>
    <w:rsid w:val="7E187C23"/>
    <w:rsid w:val="7EDB7143"/>
    <w:rsid w:val="7F4E7F0C"/>
    <w:rsid w:val="7F647B46"/>
    <w:rsid w:val="7FFB0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widowControl/>
      <w:spacing w:before="100" w:beforeAutospacing="1" w:after="100" w:afterAutospacing="1"/>
      <w:jc w:val="left"/>
    </w:pPr>
    <w:rPr>
      <w:rFonts w:ascii="宋体" w:hAnsi="宋体" w:cs="宋体"/>
      <w:kern w:val="0"/>
      <w:sz w:val="24"/>
    </w:rPr>
  </w:style>
  <w:style w:type="paragraph" w:styleId="3">
    <w:name w:val="annotation text"/>
    <w:basedOn w:val="1"/>
    <w:qFormat/>
    <w:uiPriority w:val="99"/>
    <w:pPr>
      <w:jc w:val="left"/>
    </w:pPr>
  </w:style>
  <w:style w:type="paragraph" w:styleId="4">
    <w:name w:val="Body Text"/>
    <w:basedOn w:val="1"/>
    <w:qFormat/>
    <w:uiPriority w:val="0"/>
    <w:pPr>
      <w:spacing w:after="120"/>
    </w:pPr>
  </w:style>
  <w:style w:type="paragraph" w:styleId="5">
    <w:name w:val="Date"/>
    <w:basedOn w:val="1"/>
    <w:next w:val="1"/>
    <w:link w:val="17"/>
    <w:unhideWhenUsed/>
    <w:qFormat/>
    <w:uiPriority w:val="99"/>
    <w:pPr>
      <w:ind w:left="100" w:leftChars="2500"/>
    </w:pPr>
  </w:style>
  <w:style w:type="paragraph" w:styleId="6">
    <w:name w:val="Body Text Indent 2"/>
    <w:basedOn w:val="1"/>
    <w:qFormat/>
    <w:uiPriority w:val="0"/>
    <w:pPr>
      <w:ind w:left="105" w:firstLine="525"/>
    </w:pPr>
    <w:rPr>
      <w:rFonts w:ascii="宋体"/>
      <w:sz w:val="28"/>
      <w:szCs w:val="20"/>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Emphasis"/>
    <w:basedOn w:val="13"/>
    <w:qFormat/>
    <w:uiPriority w:val="20"/>
    <w:rPr>
      <w:i/>
    </w:rPr>
  </w:style>
  <w:style w:type="character" w:styleId="16">
    <w:name w:val="Hyperlink"/>
    <w:basedOn w:val="13"/>
    <w:unhideWhenUsed/>
    <w:qFormat/>
    <w:uiPriority w:val="99"/>
    <w:rPr>
      <w:color w:val="3377AA"/>
      <w:u w:val="none"/>
    </w:rPr>
  </w:style>
  <w:style w:type="character" w:customStyle="1" w:styleId="17">
    <w:name w:val="日期 字符"/>
    <w:basedOn w:val="13"/>
    <w:link w:val="5"/>
    <w:semiHidden/>
    <w:qFormat/>
    <w:uiPriority w:val="99"/>
    <w:rPr>
      <w:kern w:val="2"/>
      <w:sz w:val="21"/>
      <w:szCs w:val="24"/>
    </w:rPr>
  </w:style>
  <w:style w:type="paragraph" w:customStyle="1" w:styleId="18">
    <w:name w:val="标题5"/>
    <w:basedOn w:val="1"/>
    <w:qFormat/>
    <w:uiPriority w:val="0"/>
    <w:pPr>
      <w:adjustRightInd w:val="0"/>
      <w:snapToGrid w:val="0"/>
      <w:spacing w:line="310" w:lineRule="atLeast"/>
      <w:ind w:firstLine="425"/>
    </w:pPr>
    <w:rPr>
      <w:rFonts w:ascii="Arial" w:hAnsi="Arial" w:eastAsia="黑体"/>
      <w:szCs w:val="20"/>
    </w:rPr>
  </w:style>
  <w:style w:type="paragraph" w:customStyle="1" w:styleId="19">
    <w:name w:val="样式1"/>
    <w:basedOn w:val="1"/>
    <w:qFormat/>
    <w:uiPriority w:val="0"/>
  </w:style>
  <w:style w:type="paragraph" w:customStyle="1" w:styleId="20">
    <w:name w:val="p0"/>
    <w:basedOn w:val="1"/>
    <w:qFormat/>
    <w:uiPriority w:val="0"/>
    <w:pPr>
      <w:widowControl/>
    </w:pPr>
    <w:rPr>
      <w:kern w:val="0"/>
      <w:szCs w:val="21"/>
    </w:rPr>
  </w:style>
  <w:style w:type="paragraph" w:customStyle="1" w:styleId="21">
    <w:name w:val="p17"/>
    <w:basedOn w:val="1"/>
    <w:qFormat/>
    <w:uiPriority w:val="0"/>
    <w:pPr>
      <w:widowControl/>
    </w:pPr>
    <w:rPr>
      <w:kern w:val="0"/>
      <w:szCs w:val="21"/>
    </w:rPr>
  </w:style>
  <w:style w:type="paragraph" w:customStyle="1" w:styleId="22">
    <w:name w:val="表内容"/>
    <w:basedOn w:val="1"/>
    <w:qFormat/>
    <w:uiPriority w:val="0"/>
    <w:pPr>
      <w:adjustRightInd w:val="0"/>
      <w:snapToGrid w:val="0"/>
      <w:spacing w:line="310" w:lineRule="atLeast"/>
      <w:jc w:val="center"/>
    </w:pPr>
    <w:rPr>
      <w:sz w:val="18"/>
      <w:szCs w:val="20"/>
    </w:rPr>
  </w:style>
  <w:style w:type="paragraph" w:customStyle="1" w:styleId="23">
    <w:name w:val="_Style 6"/>
    <w:basedOn w:val="1"/>
    <w:qFormat/>
    <w:uiPriority w:val="0"/>
    <w:pPr>
      <w:widowControl/>
      <w:spacing w:after="160" w:line="240" w:lineRule="exact"/>
      <w:jc w:val="left"/>
    </w:pPr>
  </w:style>
  <w:style w:type="paragraph" w:customStyle="1" w:styleId="24">
    <w:name w:val="reader-word-layer"/>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1944</Words>
  <Characters>11082</Characters>
  <Lines>92</Lines>
  <Paragraphs>25</Paragraphs>
  <TotalTime>286</TotalTime>
  <ScaleCrop>false</ScaleCrop>
  <LinksUpToDate>false</LinksUpToDate>
  <CharactersWithSpaces>13001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2019-07-01T13:41:00Z</dcterms:created>
  <dc:creator>Administrator</dc:creator>
  <cp:lastModifiedBy>石春林</cp:lastModifiedBy>
  <cp:lastPrinted>2019-12-04T06:21:00Z</cp:lastPrinted>
  <dcterms:modified xsi:type="dcterms:W3CDTF">2021-08-24T12:19:05Z</dcterms:modified>
  <dc:title>常州刘国钧高等职业技术学校</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31A40AA9F71241F2B03C6BFA300B9EE1</vt:lpwstr>
  </property>
</Properties>
</file>