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1D0A">
      <w:pPr>
        <w:pStyle w:val="a6"/>
        <w:spacing w:beforeLines="50" w:before="156" w:line="480" w:lineRule="auto"/>
        <w:rPr>
          <w:rFonts w:ascii="华文琥珀" w:eastAsia="华文琥珀" w:hint="eastAsia"/>
          <w:color w:val="000000"/>
          <w:sz w:val="84"/>
          <w:szCs w:val="84"/>
        </w:rPr>
      </w:pPr>
      <w:bookmarkStart w:id="0" w:name="_GoBack"/>
      <w:bookmarkEnd w:id="0"/>
      <w:r>
        <w:rPr>
          <w:rFonts w:ascii="华文琥珀" w:eastAsia="华文琥珀" w:hint="eastAsia"/>
          <w:color w:val="000000"/>
          <w:sz w:val="84"/>
          <w:szCs w:val="84"/>
        </w:rPr>
        <w:t>常州艺术高等职业学校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教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师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教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学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工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作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指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导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手</w:t>
      </w:r>
    </w:p>
    <w:p w:rsidR="00000000" w:rsidRDefault="00691D0A">
      <w:pPr>
        <w:pStyle w:val="a6"/>
        <w:spacing w:beforeLines="50" w:before="156" w:line="900" w:lineRule="exact"/>
        <w:rPr>
          <w:rFonts w:ascii="华文琥珀" w:eastAsia="华文琥珀" w:hint="eastAsia"/>
          <w:color w:val="000000"/>
          <w:sz w:val="52"/>
          <w:szCs w:val="52"/>
        </w:rPr>
      </w:pPr>
      <w:r>
        <w:rPr>
          <w:rFonts w:ascii="华文琥珀" w:eastAsia="华文琥珀" w:hint="eastAsia"/>
          <w:color w:val="000000"/>
          <w:sz w:val="52"/>
          <w:szCs w:val="52"/>
        </w:rPr>
        <w:t>册</w:t>
      </w:r>
    </w:p>
    <w:p w:rsidR="00000000" w:rsidRDefault="00691D0A">
      <w:pPr>
        <w:pStyle w:val="a6"/>
        <w:spacing w:beforeLines="50" w:before="156" w:line="480" w:lineRule="auto"/>
        <w:ind w:firstLineChars="650" w:firstLine="2080"/>
        <w:jc w:val="both"/>
        <w:rPr>
          <w:rFonts w:ascii="华文琥珀" w:eastAsia="华文琥珀" w:hint="eastAsia"/>
          <w:color w:val="000000"/>
          <w:sz w:val="32"/>
          <w:szCs w:val="32"/>
        </w:rPr>
      </w:pPr>
    </w:p>
    <w:p w:rsidR="00000000" w:rsidRDefault="00691D0A">
      <w:pPr>
        <w:pStyle w:val="a6"/>
        <w:spacing w:beforeLines="50" w:before="156" w:line="480" w:lineRule="auto"/>
        <w:ind w:firstLineChars="600" w:firstLine="3120"/>
        <w:jc w:val="both"/>
        <w:rPr>
          <w:rFonts w:ascii="华文琥珀" w:eastAsia="华文琥珀" w:hint="eastAsia"/>
          <w:color w:val="000000"/>
          <w:sz w:val="48"/>
          <w:szCs w:val="48"/>
        </w:rPr>
      </w:pPr>
      <w:r>
        <w:rPr>
          <w:rFonts w:ascii="华文琥珀" w:eastAsia="华文琥珀" w:hint="eastAsia"/>
          <w:color w:val="000000"/>
          <w:sz w:val="52"/>
          <w:szCs w:val="52"/>
        </w:rPr>
        <w:t xml:space="preserve">NCA </w:t>
      </w:r>
      <w:r>
        <w:rPr>
          <w:rFonts w:ascii="华文琥珀" w:eastAsia="华文琥珀" w:hint="eastAsia"/>
          <w:color w:val="000000"/>
          <w:sz w:val="48"/>
          <w:szCs w:val="48"/>
        </w:rPr>
        <w:t xml:space="preserve"> </w:t>
      </w:r>
      <w:r>
        <w:rPr>
          <w:rFonts w:ascii="华文琥珀" w:eastAsia="华文琥珀" w:hint="eastAsia"/>
          <w:color w:val="000000"/>
          <w:sz w:val="48"/>
          <w:szCs w:val="48"/>
        </w:rPr>
        <w:t>教务处</w:t>
      </w:r>
    </w:p>
    <w:p w:rsidR="00000000" w:rsidRDefault="00691D0A">
      <w:pPr>
        <w:pStyle w:val="a6"/>
        <w:spacing w:beforeLines="50" w:before="156" w:line="400" w:lineRule="exact"/>
        <w:rPr>
          <w:rFonts w:ascii="华文琥珀" w:eastAsia="华文琥珀" w:hint="eastAsia"/>
          <w:color w:val="000000"/>
          <w:sz w:val="32"/>
          <w:szCs w:val="32"/>
        </w:rPr>
      </w:pPr>
      <w:r>
        <w:rPr>
          <w:rFonts w:ascii="华文琥珀" w:eastAsia="华文琥珀" w:hint="eastAsia"/>
          <w:color w:val="000000"/>
          <w:sz w:val="32"/>
          <w:szCs w:val="32"/>
        </w:rPr>
        <w:lastRenderedPageBreak/>
        <w:t>目</w:t>
      </w:r>
      <w:r>
        <w:rPr>
          <w:rFonts w:ascii="华文琥珀" w:eastAsia="华文琥珀" w:hint="eastAsia"/>
          <w:color w:val="000000"/>
          <w:sz w:val="32"/>
          <w:szCs w:val="32"/>
        </w:rPr>
        <w:t xml:space="preserve">    </w:t>
      </w:r>
      <w:r>
        <w:rPr>
          <w:rFonts w:ascii="华文琥珀" w:eastAsia="华文琥珀" w:hint="eastAsia"/>
          <w:color w:val="000000"/>
          <w:sz w:val="32"/>
          <w:szCs w:val="32"/>
        </w:rPr>
        <w:t>录</w:t>
      </w:r>
    </w:p>
    <w:p w:rsidR="00000000" w:rsidRDefault="00691D0A">
      <w:pPr>
        <w:spacing w:line="400" w:lineRule="exact"/>
        <w:ind w:rightChars="168" w:right="353"/>
        <w:jc w:val="left"/>
        <w:rPr>
          <w:rFonts w:hint="eastAsia"/>
        </w:rPr>
      </w:pPr>
      <w:r>
        <w:rPr>
          <w:rFonts w:hint="eastAsia"/>
        </w:rPr>
        <w:t>（一）行业（市场）调研管理制度</w:t>
      </w:r>
      <w:r>
        <w:rPr>
          <w:rFonts w:hint="eastAsia"/>
        </w:rPr>
        <w:t xml:space="preserve">  </w:t>
      </w:r>
      <w:r>
        <w:rPr>
          <w:rFonts w:hint="eastAsia"/>
        </w:rPr>
        <w:t>……………………………………………………………………</w:t>
      </w:r>
      <w:r>
        <w:rPr>
          <w:rFonts w:hint="eastAsia"/>
        </w:rPr>
        <w:t xml:space="preserve"> 3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（二）专业《人才培养方案》制（修）定与审批实施制度</w:t>
      </w:r>
      <w:r>
        <w:rPr>
          <w:rFonts w:hint="eastAsia"/>
        </w:rPr>
        <w:t xml:space="preserve">  </w:t>
      </w:r>
      <w:r>
        <w:rPr>
          <w:rFonts w:hint="eastAsia"/>
        </w:rPr>
        <w:t>…………………………………………</w:t>
      </w:r>
      <w:r>
        <w:rPr>
          <w:rFonts w:hint="eastAsia"/>
        </w:rPr>
        <w:t xml:space="preserve"> 4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（三）《课程标准》制（修）定、审批与执行制度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</w:t>
      </w:r>
      <w:r>
        <w:rPr>
          <w:rFonts w:hint="eastAsia"/>
        </w:rPr>
        <w:t xml:space="preserve"> 5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（四）课程管理规定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………………………………………………………………………………………</w:t>
      </w:r>
      <w:r>
        <w:rPr>
          <w:rFonts w:hint="eastAsia"/>
        </w:rPr>
        <w:t>6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（五）实施性教学计划管理规定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</w:t>
      </w:r>
      <w:r>
        <w:rPr>
          <w:rFonts w:hint="eastAsia"/>
        </w:rPr>
        <w:t>………………………………………………</w:t>
      </w:r>
      <w:r>
        <w:rPr>
          <w:rFonts w:hint="eastAsia"/>
        </w:rPr>
        <w:t>8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（六）教学进度表的制定与执行制度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</w:t>
      </w:r>
      <w:r>
        <w:rPr>
          <w:rFonts w:hint="eastAsia"/>
        </w:rPr>
        <w:t>9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（七）备课制度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10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（八）上课制度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……………………………………………………………………………………………</w:t>
      </w:r>
      <w:r>
        <w:rPr>
          <w:rFonts w:hint="eastAsia"/>
        </w:rPr>
        <w:t>11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（九）作业的布置与批改规定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14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（十）考试与考查制度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</w:t>
      </w:r>
      <w:r>
        <w:rPr>
          <w:rFonts w:hint="eastAsia"/>
        </w:rPr>
        <w:t>15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（十一）学校教</w:t>
      </w:r>
      <w:r>
        <w:rPr>
          <w:rFonts w:hint="eastAsia"/>
        </w:rPr>
        <w:t>学督导工作条例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</w:t>
      </w:r>
      <w:r>
        <w:rPr>
          <w:rFonts w:hint="eastAsia"/>
        </w:rPr>
        <w:t>17</w:t>
      </w:r>
    </w:p>
    <w:p w:rsidR="00000000" w:rsidRDefault="00691D0A">
      <w:pPr>
        <w:spacing w:line="400" w:lineRule="exact"/>
        <w:ind w:firstLineChars="50" w:firstLine="105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 xml:space="preserve">) </w:t>
      </w:r>
      <w:r>
        <w:rPr>
          <w:rFonts w:hint="eastAsia"/>
        </w:rPr>
        <w:t>专业加试监考制度</w:t>
      </w:r>
      <w:r>
        <w:rPr>
          <w:rFonts w:hint="eastAsia"/>
        </w:rPr>
        <w:t xml:space="preserve">  </w:t>
      </w:r>
      <w:r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20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（十三）教学汇报或展览规定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21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（十四）教材管理制度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</w:t>
      </w:r>
      <w:r>
        <w:rPr>
          <w:rFonts w:hint="eastAsia"/>
        </w:rPr>
        <w:t>22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（十五）校本教材开发与使用制度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</w:t>
      </w:r>
      <w:r>
        <w:rPr>
          <w:rFonts w:hint="eastAsia"/>
        </w:rPr>
        <w:t>23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（十六）听课制度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</w:t>
      </w:r>
      <w:r>
        <w:rPr>
          <w:rFonts w:hint="eastAsia"/>
        </w:rPr>
        <w:t>………………………………</w:t>
      </w:r>
      <w:r>
        <w:rPr>
          <w:rFonts w:hint="eastAsia"/>
        </w:rPr>
        <w:t>24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（十七）调课制度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…………………………………………………………………………………………</w:t>
      </w:r>
      <w:r>
        <w:rPr>
          <w:rFonts w:hint="eastAsia"/>
        </w:rPr>
        <w:t>25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（十八）教学档案管理制度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26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（十九）继续教育管理规定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</w:t>
      </w:r>
      <w:r>
        <w:rPr>
          <w:rFonts w:hint="eastAsia"/>
        </w:rPr>
        <w:t>28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（二十）监考制度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…………………………………………………………………………………………</w:t>
      </w:r>
      <w:r>
        <w:rPr>
          <w:rFonts w:hint="eastAsia"/>
        </w:rPr>
        <w:t>29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（二十一）课程补考及重修规定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</w:t>
      </w:r>
      <w:r>
        <w:rPr>
          <w:rFonts w:hint="eastAsia"/>
        </w:rPr>
        <w:t>30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（二十二）教研活动规定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</w:t>
      </w:r>
      <w:r>
        <w:rPr>
          <w:rFonts w:hint="eastAsia"/>
        </w:rPr>
        <w:t>31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（二十三）教学论文管理制度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32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（二十四）课题管理制度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</w:t>
      </w:r>
      <w:r>
        <w:rPr>
          <w:rFonts w:hint="eastAsia"/>
        </w:rPr>
        <w:t>33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（二十五）精品课程管理制度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34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（二十六）教学巡查制度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…………………………………………………………………………………</w:t>
      </w:r>
      <w:r>
        <w:rPr>
          <w:rFonts w:hint="eastAsia"/>
        </w:rPr>
        <w:t>35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（二十七）教学事故认定及处理办法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</w:t>
      </w:r>
      <w:r>
        <w:rPr>
          <w:rFonts w:hint="eastAsia"/>
        </w:rPr>
        <w:t>………………</w:t>
      </w:r>
      <w:r>
        <w:rPr>
          <w:rFonts w:hint="eastAsia"/>
        </w:rPr>
        <w:t>37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（二十八）实习教学管理规定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40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（二十九）外聘教师管理规定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……………………………………………………………………………</w:t>
      </w:r>
      <w:r>
        <w:rPr>
          <w:rFonts w:hint="eastAsia"/>
        </w:rPr>
        <w:t>42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（三十）职业技能比赛训练管理制度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</w:t>
      </w:r>
      <w:r>
        <w:rPr>
          <w:rFonts w:hint="eastAsia"/>
        </w:rPr>
        <w:t>43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（三十一）学分制实施方案（草案）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……………………………………………………………………</w:t>
      </w:r>
      <w:r>
        <w:rPr>
          <w:rFonts w:hint="eastAsia"/>
        </w:rPr>
        <w:t>45</w:t>
      </w:r>
    </w:p>
    <w:p w:rsidR="00000000" w:rsidRDefault="00691D0A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（三十二）专业教师进企业实践管理办法</w:t>
      </w:r>
      <w:r>
        <w:rPr>
          <w:rFonts w:hint="eastAsia"/>
        </w:rPr>
        <w:t xml:space="preserve"> </w:t>
      </w:r>
      <w:r>
        <w:rPr>
          <w:rFonts w:hint="eastAsia"/>
        </w:rPr>
        <w:t>………………………………………………………………</w:t>
      </w:r>
      <w:r>
        <w:rPr>
          <w:rFonts w:hint="eastAsia"/>
        </w:rPr>
        <w:t>51</w:t>
      </w:r>
    </w:p>
    <w:p w:rsidR="00000000" w:rsidRDefault="00691D0A">
      <w:pPr>
        <w:spacing w:line="380" w:lineRule="exact"/>
        <w:jc w:val="center"/>
        <w:rPr>
          <w:rFonts w:ascii="华文琥珀" w:eastAsia="华文琥珀" w:hint="eastAsia"/>
          <w:color w:val="000000"/>
          <w:sz w:val="32"/>
          <w:szCs w:val="32"/>
        </w:rPr>
      </w:pPr>
    </w:p>
    <w:p w:rsidR="00000000" w:rsidRDefault="00691D0A">
      <w:pPr>
        <w:spacing w:line="540" w:lineRule="exact"/>
        <w:rPr>
          <w:rFonts w:ascii="华文琥珀" w:eastAsia="华文琥珀" w:hAnsi="宋体" w:hint="eastAsia"/>
          <w:color w:val="000000"/>
          <w:sz w:val="32"/>
          <w:szCs w:val="32"/>
        </w:rPr>
      </w:pPr>
    </w:p>
    <w:p w:rsidR="00000000" w:rsidRDefault="00691D0A">
      <w:pPr>
        <w:spacing w:line="520" w:lineRule="exact"/>
        <w:jc w:val="center"/>
        <w:rPr>
          <w:rFonts w:ascii="华文琥珀" w:eastAsia="华文琥珀" w:hint="eastAsia"/>
          <w:color w:val="000000"/>
          <w:sz w:val="28"/>
          <w:szCs w:val="28"/>
        </w:rPr>
      </w:pPr>
      <w:r>
        <w:rPr>
          <w:rFonts w:ascii="华文琥珀" w:eastAsia="华文琥珀" w:hint="eastAsia"/>
          <w:color w:val="000000"/>
          <w:sz w:val="28"/>
          <w:szCs w:val="28"/>
        </w:rPr>
        <w:t>（十四）</w:t>
      </w:r>
      <w:r>
        <w:rPr>
          <w:rFonts w:ascii="华文琥珀" w:eastAsia="华文琥珀" w:hint="eastAsia"/>
          <w:color w:val="000000"/>
          <w:sz w:val="32"/>
          <w:szCs w:val="32"/>
        </w:rPr>
        <w:t>教材管理制度</w:t>
      </w:r>
    </w:p>
    <w:p w:rsidR="00000000" w:rsidRDefault="00691D0A">
      <w:pPr>
        <w:spacing w:line="520" w:lineRule="exact"/>
        <w:rPr>
          <w:rFonts w:ascii="创艺简中圆" w:eastAsia="创艺简中圆" w:hint="eastAsia"/>
          <w:color w:val="000000"/>
          <w:sz w:val="24"/>
        </w:rPr>
      </w:pPr>
      <w:r>
        <w:rPr>
          <w:color w:val="000000"/>
          <w:sz w:val="24"/>
        </w:rPr>
        <w:t xml:space="preserve">   </w:t>
      </w:r>
      <w:r>
        <w:rPr>
          <w:rFonts w:ascii="创艺简中圆" w:eastAsia="创艺简中圆" w:hint="eastAsia"/>
          <w:color w:val="000000"/>
          <w:sz w:val="24"/>
        </w:rPr>
        <w:t>1</w:t>
      </w:r>
      <w:r>
        <w:rPr>
          <w:rFonts w:ascii="创艺简中圆" w:eastAsia="创艺简中圆" w:hint="eastAsia"/>
          <w:color w:val="000000"/>
          <w:sz w:val="24"/>
        </w:rPr>
        <w:t>．选用教材原则上应依据《人才培养方案》及《课程标准》，根据国家、省及联合学校有关规定，首先选用国家、省教育、文化行政部门统一组织编印的规划教材。高职各专业要选用近</w:t>
      </w:r>
      <w:r>
        <w:rPr>
          <w:rFonts w:ascii="创艺简中圆" w:eastAsia="创艺简中圆" w:hint="eastAsia"/>
          <w:color w:val="000000"/>
          <w:sz w:val="24"/>
        </w:rPr>
        <w:t>3</w:t>
      </w:r>
      <w:r>
        <w:rPr>
          <w:rFonts w:ascii="创艺简中圆" w:eastAsia="创艺简中圆" w:hint="eastAsia"/>
          <w:color w:val="000000"/>
          <w:sz w:val="24"/>
        </w:rPr>
        <w:t>年出版的高职教材。所用辅导材料、复习资料、试题汇编等应经教研室集体讨论后确定。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2</w:t>
      </w:r>
      <w:r>
        <w:rPr>
          <w:rFonts w:ascii="创艺简中圆" w:eastAsia="创艺简中圆" w:hint="eastAsia"/>
          <w:color w:val="000000"/>
          <w:sz w:val="24"/>
        </w:rPr>
        <w:t>．教材选用由教研室确定，按时填写《选用教材审批表》，经教务处和分管教务校长批准后，统一采购。教材由图书馆统一发放。任何教研室或个人不得擅自向学生发售有关教学参考资料，否则学生有权拒绝接受，学校将根据有关规定追究个人责任并作相应处理。</w:t>
      </w:r>
    </w:p>
    <w:p w:rsidR="00000000" w:rsidRDefault="00691D0A">
      <w:pPr>
        <w:spacing w:line="520" w:lineRule="exact"/>
        <w:ind w:firstLineChars="200"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3</w:t>
      </w:r>
      <w:r>
        <w:rPr>
          <w:rFonts w:ascii="创艺简中圆" w:eastAsia="创艺简中圆" w:hint="eastAsia"/>
          <w:color w:val="000000"/>
          <w:sz w:val="24"/>
        </w:rPr>
        <w:t>．校本教材建设应按学校统一规划</w:t>
      </w:r>
      <w:r>
        <w:rPr>
          <w:rFonts w:ascii="创艺简中圆" w:eastAsia="创艺简中圆" w:hint="eastAsia"/>
          <w:color w:val="000000"/>
          <w:sz w:val="24"/>
        </w:rPr>
        <w:t>进行，需经教研室集体讨论。拟定编写提纲经教科研中心审批报教务副校长批准后组织编写。书稿应经教科研处、教务处和分管校长审阅后，由教科研中心安排印制，教务处按教材管理规定发放使用。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4</w:t>
      </w:r>
      <w:r>
        <w:rPr>
          <w:rFonts w:ascii="创艺简中圆" w:eastAsia="创艺简中圆" w:hint="eastAsia"/>
          <w:color w:val="000000"/>
          <w:sz w:val="24"/>
        </w:rPr>
        <w:t>．授课教师对担任的课程，供本课程、本科目教材及本课程其他专业教材各一本，作备课参考用。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5</w:t>
      </w:r>
      <w:r>
        <w:rPr>
          <w:rFonts w:ascii="创艺简中圆" w:eastAsia="创艺简中圆" w:hint="eastAsia"/>
          <w:color w:val="000000"/>
          <w:sz w:val="24"/>
        </w:rPr>
        <w:t>．教材采购应及时，确保教学需要。应按上级有关规定实行集中招标采购，教务处制定教材采购计划报学校招标采购办公室。学校招标采购办公室负责实施教材招标采购。参与招标采购人员应做到清正廉洁，坚决杜绝收受贿赂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6</w:t>
      </w:r>
      <w:r>
        <w:rPr>
          <w:rFonts w:ascii="创艺简中圆" w:eastAsia="创艺简中圆" w:hint="eastAsia"/>
          <w:color w:val="000000"/>
          <w:sz w:val="24"/>
        </w:rPr>
        <w:t>．在校学生，按开设的课程，每人供应教材</w:t>
      </w:r>
      <w:r>
        <w:rPr>
          <w:rFonts w:ascii="创艺简中圆" w:eastAsia="创艺简中圆" w:hint="eastAsia"/>
          <w:color w:val="000000"/>
          <w:sz w:val="24"/>
        </w:rPr>
        <w:t>一套。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7</w:t>
      </w:r>
      <w:r>
        <w:rPr>
          <w:rFonts w:ascii="创艺简中圆" w:eastAsia="创艺简中圆" w:hint="eastAsia"/>
          <w:color w:val="000000"/>
          <w:sz w:val="24"/>
        </w:rPr>
        <w:t>．授课教师对担任的专业、（学科）课程发给教材一本，供备课使用，如教材不变，使用三年更换一本。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8</w:t>
      </w:r>
      <w:r>
        <w:rPr>
          <w:rFonts w:ascii="创艺简中圆" w:eastAsia="创艺简中圆" w:hint="eastAsia"/>
          <w:color w:val="000000"/>
          <w:sz w:val="24"/>
        </w:rPr>
        <w:t>．对承担本校教学的外聘教师，发给本校现行教材一本。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9</w:t>
      </w:r>
      <w:r>
        <w:rPr>
          <w:rFonts w:ascii="创艺简中圆" w:eastAsia="创艺简中圆" w:hint="eastAsia"/>
          <w:color w:val="000000"/>
          <w:sz w:val="24"/>
        </w:rPr>
        <w:t>．本校所使用的各种教材书籍，图书馆存放有一定的数量专供师生借阅学习，凡教学参考书籍、资料一律由图书馆购置。各类学术活动中公费购置的有关教学资料应交校图书馆，不得私人留用。</w:t>
      </w:r>
    </w:p>
    <w:p w:rsidR="00000000" w:rsidRDefault="00691D0A">
      <w:pPr>
        <w:spacing w:line="520" w:lineRule="exact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 xml:space="preserve">    10</w:t>
      </w:r>
      <w:r>
        <w:rPr>
          <w:rFonts w:ascii="创艺简中圆" w:eastAsia="创艺简中圆" w:hint="eastAsia"/>
          <w:color w:val="000000"/>
          <w:sz w:val="24"/>
        </w:rPr>
        <w:t>．凡外出进修或跟班听课的教师，对所需教材，一律自费解决。</w:t>
      </w:r>
      <w:r>
        <w:rPr>
          <w:rFonts w:ascii="创艺简中圆" w:eastAsia="创艺简中圆" w:hint="eastAsia"/>
          <w:color w:val="000000"/>
          <w:sz w:val="24"/>
        </w:rPr>
        <w:t xml:space="preserve">  </w:t>
      </w:r>
    </w:p>
    <w:p w:rsidR="00000000" w:rsidRDefault="00691D0A">
      <w:pPr>
        <w:spacing w:line="520" w:lineRule="exact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lastRenderedPageBreak/>
        <w:t xml:space="preserve">    11</w:t>
      </w:r>
      <w:r>
        <w:rPr>
          <w:rFonts w:ascii="创艺简中圆" w:eastAsia="创艺简中圆" w:hint="eastAsia"/>
          <w:color w:val="000000"/>
          <w:sz w:val="24"/>
        </w:rPr>
        <w:t>．学生领取教材后如有遗失，要在条件许可下申请自费补购。</w:t>
      </w:r>
      <w:r>
        <w:rPr>
          <w:rFonts w:ascii="创艺简中圆" w:eastAsia="创艺简中圆" w:hint="eastAsia"/>
          <w:color w:val="000000"/>
          <w:sz w:val="24"/>
        </w:rPr>
        <w:t xml:space="preserve">    </w:t>
      </w:r>
    </w:p>
    <w:p w:rsidR="00000000" w:rsidRDefault="00691D0A">
      <w:pPr>
        <w:spacing w:line="520" w:lineRule="exact"/>
        <w:ind w:firstLine="480"/>
        <w:rPr>
          <w:rFonts w:ascii="创艺简中圆" w:eastAsia="创艺简中圆" w:hint="eastAsia"/>
          <w:color w:val="000000"/>
          <w:sz w:val="24"/>
        </w:rPr>
      </w:pPr>
      <w:r>
        <w:rPr>
          <w:rFonts w:ascii="创艺简中圆" w:eastAsia="创艺简中圆" w:hint="eastAsia"/>
          <w:color w:val="000000"/>
          <w:sz w:val="24"/>
        </w:rPr>
        <w:t>12</w:t>
      </w:r>
      <w:r>
        <w:rPr>
          <w:rFonts w:ascii="创艺简中圆" w:eastAsia="创艺简中圆" w:hint="eastAsia"/>
          <w:color w:val="000000"/>
          <w:sz w:val="24"/>
        </w:rPr>
        <w:t>．学校由图书馆统一管理，每</w:t>
      </w:r>
      <w:r>
        <w:rPr>
          <w:rFonts w:ascii="创艺简中圆" w:eastAsia="创艺简中圆" w:hint="eastAsia"/>
          <w:color w:val="000000"/>
          <w:sz w:val="24"/>
        </w:rPr>
        <w:t>学期开学前，必须做到每门课程都有相应的教材或讲义。书库教材必须分类存放，做到防火、防水、防霉、防尘。</w:t>
      </w:r>
    </w:p>
    <w:p w:rsidR="00000000" w:rsidRDefault="00691D0A">
      <w:pPr>
        <w:spacing w:line="400" w:lineRule="exact"/>
        <w:jc w:val="center"/>
        <w:rPr>
          <w:rFonts w:ascii="创艺简中圆" w:eastAsia="创艺简中圆" w:hint="eastAsia"/>
          <w:color w:val="000000"/>
          <w:sz w:val="24"/>
        </w:rPr>
      </w:pPr>
    </w:p>
    <w:p w:rsidR="00000000" w:rsidRDefault="00691D0A">
      <w:pPr>
        <w:spacing w:line="400" w:lineRule="exact"/>
        <w:jc w:val="center"/>
        <w:rPr>
          <w:rFonts w:ascii="华文琥珀" w:eastAsia="华文琥珀" w:hAnsi="ˎ̥" w:hint="eastAsia"/>
          <w:color w:val="000000"/>
          <w:sz w:val="24"/>
        </w:rPr>
      </w:pPr>
      <w:r>
        <w:rPr>
          <w:rFonts w:ascii="华文琥珀" w:eastAsia="华文琥珀" w:hAnsi="ˎ̥" w:hint="eastAsia"/>
          <w:color w:val="000000"/>
          <w:sz w:val="32"/>
          <w:szCs w:val="32"/>
        </w:rPr>
        <w:t>（十五）校本教材开发与使用制度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1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．基本原则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1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）要结合学校实际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。学校专业建设与课程改革是校本教材开发的基础，校本教材的开发要与学校人才培养模式和课程体系、课程改革相结合，要注意开发符合学校发展实际，具有学校办学特色的教材。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2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）要有针对性和实用性。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校本教材开发要紧紧围绕培养技术应用性专门人才来进行。公共课程教材要体现以应用为目的，以“必需、够用”为度，以讲清概念，强化应用为教学重点。专业课程教材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要加强针对性和实用性，要选择实用性强的知识和技术，使学生做到学以致用。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spacing w:val="-1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3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）要依据人才培养方案和课程标准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创艺简中圆" w:eastAsia="创艺简中圆" w:hAnsi="宋体" w:cs="宋体" w:hint="eastAsia"/>
          <w:color w:val="000000"/>
          <w:spacing w:val="-10"/>
          <w:kern w:val="0"/>
          <w:sz w:val="24"/>
        </w:rPr>
        <w:t>。校本教材开发要依据人才培养方案和课程标准进行，要根据人才培养方案和课程标准的要求，组织教师开展教研活动，对教材内容、形式进行研讨。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4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）要考虑学生的发展。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校本教材的编写在选材时要尽可能反映本学科最新、最实用的科技成果；同时，应考虑未来社会经济的发展需求和学生自身发展的需求，为学生自学、继续教育奠定基础，增强学生可持续发展的能力。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2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．开发程序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1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）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申报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①凡符合编著条件的教师，根据本专业教学改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革的实际和教材建设的情况向所在教研室提出书面申请，说明教材开发的必要性和可能性。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②教研室经过初步论证后，向所在系（部）提出立项申请，立项申请资料包括立项申报表和《课程标准》。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2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）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立项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学校教务处负责全校校本教材立项申报的汇总工作，并提请教学指导委员会对各教研室提交的立项申请进行评议，提出审定意见。经评议同意立项的，由分管校长签署批准意见。教务处向全校公布立项名单，并下发立项通知书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3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）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编写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申请人接到立项通知后，应着手进行教材编写工作。所在教研室、系（部）要重视教材的编写工作，做好跟踪检查和督促工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作。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4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）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审定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spacing w:val="-8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lastRenderedPageBreak/>
        <w:t>申请人完成教材编写工作后，应填写审定申请书（并提供稿件清样），教材清样的编者应注明——编者姓名、有合作者的应注明是核心成员还是一般参与成员，经教研室和系（部）签署意见后汇总至教务处。教务处提请教学指导委员会召开会议或部分学术委员进</w:t>
      </w:r>
      <w:r>
        <w:rPr>
          <w:rFonts w:ascii="创艺简中圆" w:eastAsia="创艺简中圆" w:hAnsi="宋体" w:cs="宋体" w:hint="eastAsia"/>
          <w:color w:val="000000"/>
          <w:spacing w:val="-8"/>
          <w:kern w:val="0"/>
          <w:sz w:val="24"/>
        </w:rPr>
        <w:t>行审定。申请人应根据审定意见进行对书稿进行修改。审稿合格后报教学指导委员会审批实施。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hint="eastAsia"/>
          <w:color w:val="000000"/>
          <w:kern w:val="0"/>
          <w:sz w:val="24"/>
        </w:rPr>
        <w:t>（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5</w:t>
      </w:r>
      <w:r>
        <w:rPr>
          <w:rFonts w:ascii="创艺简中圆" w:eastAsia="创艺简中圆" w:hAnsi="宋体" w:hint="eastAsia"/>
          <w:color w:val="000000"/>
          <w:kern w:val="0"/>
          <w:sz w:val="24"/>
        </w:rPr>
        <w:t>）</w:t>
      </w: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印制</w:t>
      </w:r>
    </w:p>
    <w:p w:rsidR="00000000" w:rsidRDefault="00691D0A">
      <w:pPr>
        <w:widowControl/>
        <w:spacing w:line="400" w:lineRule="exact"/>
        <w:ind w:firstLineChars="200" w:firstLine="480"/>
        <w:jc w:val="left"/>
        <w:rPr>
          <w:rFonts w:ascii="创艺简中圆" w:eastAsia="创艺简中圆" w:hAnsi="宋体" w:cs="宋体" w:hint="eastAsia"/>
          <w:color w:val="000000"/>
          <w:kern w:val="0"/>
          <w:sz w:val="24"/>
        </w:rPr>
      </w:pPr>
      <w:r>
        <w:rPr>
          <w:rFonts w:ascii="创艺简中圆" w:eastAsia="创艺简中圆" w:hAnsi="宋体" w:cs="宋体" w:hint="eastAsia"/>
          <w:color w:val="000000"/>
          <w:kern w:val="0"/>
          <w:sz w:val="24"/>
        </w:rPr>
        <w:t>教学处负责校本教材的封面设计、印制和服务管理等工作。</w:t>
      </w:r>
    </w:p>
    <w:p w:rsidR="00000000" w:rsidRDefault="00691D0A">
      <w:pPr>
        <w:ind w:firstLineChars="2391" w:firstLine="5738"/>
        <w:rPr>
          <w:rFonts w:ascii="创艺简中圆" w:eastAsia="创艺简中圆" w:hint="eastAsia"/>
          <w:color w:val="000000"/>
          <w:sz w:val="24"/>
        </w:rPr>
      </w:pPr>
    </w:p>
    <w:p w:rsidR="00691D0A" w:rsidRDefault="00691D0A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691D0A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0A" w:rsidRDefault="00691D0A">
      <w:r>
        <w:separator/>
      </w:r>
    </w:p>
  </w:endnote>
  <w:endnote w:type="continuationSeparator" w:id="0">
    <w:p w:rsidR="00691D0A" w:rsidRDefault="0069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创艺简中圆">
    <w:altName w:val="方正兰亭超细黑简体"/>
    <w:charset w:val="86"/>
    <w:family w:val="auto"/>
    <w:pitch w:val="default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DFA">
    <w:pPr>
      <w:pStyle w:val="a5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91D0A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80DF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691D0A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80DF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91D0A">
      <w:rPr>
        <w:rFonts w:ascii="黑体" w:eastAsia="黑体" w:hAnsi="黑体" w:cs="黑体" w:hint="eastAsia"/>
        <w:b/>
        <w:bCs/>
        <w:sz w:val="21"/>
        <w:szCs w:val="21"/>
      </w:rPr>
      <w:tab/>
    </w:r>
    <w:r w:rsidR="00691D0A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0A" w:rsidRDefault="00691D0A">
      <w:r>
        <w:separator/>
      </w:r>
    </w:p>
  </w:footnote>
  <w:footnote w:type="continuationSeparator" w:id="0">
    <w:p w:rsidR="00691D0A" w:rsidRDefault="00691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0DFA">
    <w:pPr>
      <w:pStyle w:val="a4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D0A">
      <w:rPr>
        <w:rFonts w:hint="eastAsia"/>
      </w:rPr>
      <w:t xml:space="preserve">                                          </w:t>
    </w:r>
    <w:r w:rsidR="00691D0A">
      <w:rPr>
        <w:rFonts w:hint="eastAsia"/>
      </w:rPr>
      <w:t xml:space="preserve">    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1D0A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FA"/>
    <w:rsid w:val="00691D0A"/>
    <w:rsid w:val="00980DFA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4D65362"/>
    <w:rsid w:val="69894BFA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6">
    <w:name w:val="黑体"/>
    <w:basedOn w:val="a"/>
    <w:pPr>
      <w:spacing w:beforeLines="100" w:before="100"/>
      <w:jc w:val="center"/>
    </w:pPr>
    <w:rPr>
      <w:rFonts w:ascii="方正黑体简体" w:eastAsia="方正黑体简体" w:hAnsi="华文楷体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6">
    <w:name w:val="黑体"/>
    <w:basedOn w:val="a"/>
    <w:pPr>
      <w:spacing w:beforeLines="100" w:before="100"/>
      <w:jc w:val="center"/>
    </w:pPr>
    <w:rPr>
      <w:rFonts w:ascii="方正黑体简体" w:eastAsia="方正黑体简体" w:hAnsi="华文楷体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2019-11-01T02:12:00Z</dcterms:created>
  <dcterms:modified xsi:type="dcterms:W3CDTF">2019-11-01T02:12:00Z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