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5016">
      <w:pPr>
        <w:jc w:val="center"/>
        <w:rPr>
          <w:b/>
          <w:sz w:val="36"/>
          <w:szCs w:val="36"/>
        </w:rPr>
      </w:pPr>
      <w:bookmarkStart w:id="0" w:name="_GoBack"/>
      <w:bookmarkEnd w:id="0"/>
      <w:r>
        <w:rPr>
          <w:rFonts w:hint="eastAsia"/>
        </w:rPr>
        <w:t xml:space="preserve">           </w:t>
      </w:r>
      <w:r>
        <w:rPr>
          <w:rFonts w:hint="eastAsia"/>
          <w:b/>
          <w:sz w:val="36"/>
          <w:szCs w:val="36"/>
        </w:rPr>
        <w:t>艺术专业协作委员会专业人才培养方案实施情况调研</w:t>
      </w:r>
    </w:p>
    <w:p w:rsidR="00000000" w:rsidRDefault="00765016">
      <w:pPr>
        <w:ind w:firstLineChars="49" w:firstLine="138"/>
        <w:jc w:val="left"/>
        <w:rPr>
          <w:sz w:val="28"/>
          <w:szCs w:val="28"/>
          <w:u w:val="single"/>
        </w:rPr>
      </w:pPr>
      <w:r>
        <w:rPr>
          <w:rFonts w:hint="eastAsia"/>
          <w:b/>
          <w:sz w:val="28"/>
          <w:szCs w:val="28"/>
        </w:rPr>
        <w:t>学校名称</w:t>
      </w:r>
      <w:r>
        <w:rPr>
          <w:rFonts w:hint="eastAsia"/>
          <w:b/>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江苏联合职业学院</w:t>
      </w:r>
      <w:r>
        <w:rPr>
          <w:rFonts w:hint="eastAsia"/>
          <w:sz w:val="28"/>
          <w:szCs w:val="28"/>
          <w:u w:val="single"/>
        </w:rPr>
        <w:t>常州艺术</w:t>
      </w:r>
      <w:r>
        <w:rPr>
          <w:rFonts w:hint="eastAsia"/>
          <w:sz w:val="28"/>
          <w:szCs w:val="28"/>
          <w:u w:val="single"/>
        </w:rPr>
        <w:t>分院</w:t>
      </w:r>
      <w:r>
        <w:rPr>
          <w:rFonts w:hint="eastAsia"/>
          <w:sz w:val="28"/>
          <w:szCs w:val="28"/>
          <w:u w:val="single"/>
        </w:rPr>
        <w:t xml:space="preserve">  </w:t>
      </w:r>
      <w:r>
        <w:rPr>
          <w:rFonts w:hint="eastAsia"/>
          <w:b/>
          <w:sz w:val="28"/>
          <w:szCs w:val="28"/>
        </w:rPr>
        <w:t>填报人姓名及职务</w:t>
      </w:r>
      <w:r>
        <w:rPr>
          <w:rFonts w:hint="eastAsia"/>
          <w:b/>
          <w:sz w:val="28"/>
          <w:szCs w:val="28"/>
        </w:rPr>
        <w:t xml:space="preserve"> </w:t>
      </w:r>
      <w:r>
        <w:rPr>
          <w:rFonts w:hint="eastAsia"/>
          <w:sz w:val="28"/>
          <w:szCs w:val="28"/>
          <w:u w:val="single"/>
        </w:rPr>
        <w:t xml:space="preserve"> </w:t>
      </w:r>
      <w:r>
        <w:rPr>
          <w:rFonts w:hint="eastAsia"/>
          <w:sz w:val="28"/>
          <w:szCs w:val="28"/>
          <w:u w:val="single"/>
        </w:rPr>
        <w:t>陈海明、任雯（声、器乐教研室主任）</w:t>
      </w:r>
      <w:r>
        <w:rPr>
          <w:rFonts w:hint="eastAsia"/>
          <w:sz w:val="28"/>
          <w:szCs w:val="28"/>
          <w:u w:val="single"/>
        </w:rPr>
        <w:t xml:space="preserve">    </w:t>
      </w:r>
    </w:p>
    <w:tbl>
      <w:tblPr>
        <w:tblStyle w:val="a5"/>
        <w:tblW w:w="0" w:type="auto"/>
        <w:tblInd w:w="0" w:type="dxa"/>
        <w:tblLayout w:type="fixed"/>
        <w:tblLook w:val="0000" w:firstRow="0" w:lastRow="0" w:firstColumn="0" w:lastColumn="0" w:noHBand="0" w:noVBand="0"/>
      </w:tblPr>
      <w:tblGrid>
        <w:gridCol w:w="2276"/>
        <w:gridCol w:w="2460"/>
        <w:gridCol w:w="2388"/>
        <w:gridCol w:w="2350"/>
        <w:gridCol w:w="2350"/>
        <w:gridCol w:w="2350"/>
      </w:tblGrid>
      <w:tr w:rsidR="00000000">
        <w:trPr>
          <w:trHeight w:val="499"/>
        </w:trPr>
        <w:tc>
          <w:tcPr>
            <w:tcW w:w="2276" w:type="dxa"/>
            <w:vAlign w:val="center"/>
          </w:tcPr>
          <w:p w:rsidR="00000000" w:rsidRDefault="00765016">
            <w:pPr>
              <w:jc w:val="center"/>
              <w:rPr>
                <w:b/>
                <w:sz w:val="24"/>
              </w:rPr>
            </w:pPr>
            <w:r>
              <w:rPr>
                <w:rFonts w:hint="eastAsia"/>
                <w:b/>
                <w:sz w:val="24"/>
              </w:rPr>
              <w:t>专业名称</w:t>
            </w:r>
          </w:p>
        </w:tc>
        <w:tc>
          <w:tcPr>
            <w:tcW w:w="2460" w:type="dxa"/>
            <w:vAlign w:val="center"/>
          </w:tcPr>
          <w:p w:rsidR="00000000" w:rsidRDefault="00765016">
            <w:pPr>
              <w:jc w:val="center"/>
              <w:rPr>
                <w:sz w:val="24"/>
              </w:rPr>
            </w:pPr>
            <w:r>
              <w:rPr>
                <w:rFonts w:hint="eastAsia"/>
                <w:sz w:val="24"/>
              </w:rPr>
              <w:t>艺术</w:t>
            </w:r>
            <w:r>
              <w:rPr>
                <w:rFonts w:hint="eastAsia"/>
                <w:sz w:val="24"/>
              </w:rPr>
              <w:t>表演（声乐方向）</w:t>
            </w:r>
          </w:p>
        </w:tc>
        <w:tc>
          <w:tcPr>
            <w:tcW w:w="2388" w:type="dxa"/>
            <w:vAlign w:val="center"/>
          </w:tcPr>
          <w:p w:rsidR="00000000" w:rsidRDefault="00765016">
            <w:pPr>
              <w:jc w:val="center"/>
              <w:rPr>
                <w:b/>
                <w:sz w:val="24"/>
              </w:rPr>
            </w:pPr>
            <w:r>
              <w:rPr>
                <w:rFonts w:hint="eastAsia"/>
                <w:b/>
                <w:sz w:val="24"/>
              </w:rPr>
              <w:t>本专业在校生总数</w:t>
            </w:r>
          </w:p>
        </w:tc>
        <w:tc>
          <w:tcPr>
            <w:tcW w:w="2350" w:type="dxa"/>
            <w:vAlign w:val="center"/>
          </w:tcPr>
          <w:p w:rsidR="00000000" w:rsidRDefault="00765016">
            <w:pPr>
              <w:jc w:val="center"/>
              <w:rPr>
                <w:rFonts w:hint="eastAsia"/>
                <w:sz w:val="24"/>
              </w:rPr>
            </w:pPr>
            <w:r>
              <w:rPr>
                <w:rFonts w:hint="eastAsia"/>
                <w:sz w:val="24"/>
              </w:rPr>
              <w:t>107</w:t>
            </w:r>
          </w:p>
        </w:tc>
        <w:tc>
          <w:tcPr>
            <w:tcW w:w="2350" w:type="dxa"/>
            <w:vAlign w:val="center"/>
          </w:tcPr>
          <w:p w:rsidR="00000000" w:rsidRDefault="00765016">
            <w:pPr>
              <w:jc w:val="center"/>
              <w:rPr>
                <w:b/>
                <w:sz w:val="24"/>
              </w:rPr>
            </w:pPr>
            <w:r>
              <w:rPr>
                <w:rFonts w:hint="eastAsia"/>
                <w:b/>
                <w:sz w:val="24"/>
              </w:rPr>
              <w:t>2016</w:t>
            </w:r>
            <w:r>
              <w:rPr>
                <w:rFonts w:hint="eastAsia"/>
                <w:b/>
                <w:sz w:val="24"/>
              </w:rPr>
              <w:t>年计划招生数</w:t>
            </w:r>
          </w:p>
        </w:tc>
        <w:tc>
          <w:tcPr>
            <w:tcW w:w="2350" w:type="dxa"/>
            <w:vAlign w:val="center"/>
          </w:tcPr>
          <w:p w:rsidR="00000000" w:rsidRDefault="00765016">
            <w:pPr>
              <w:jc w:val="center"/>
              <w:rPr>
                <w:rFonts w:hint="eastAsia"/>
                <w:sz w:val="24"/>
              </w:rPr>
            </w:pPr>
            <w:r>
              <w:rPr>
                <w:rFonts w:hint="eastAsia"/>
                <w:sz w:val="24"/>
              </w:rPr>
              <w:t>32</w:t>
            </w:r>
          </w:p>
        </w:tc>
      </w:tr>
      <w:tr w:rsidR="00000000">
        <w:trPr>
          <w:trHeight w:val="690"/>
        </w:trPr>
        <w:tc>
          <w:tcPr>
            <w:tcW w:w="2276" w:type="dxa"/>
            <w:vAlign w:val="center"/>
          </w:tcPr>
          <w:p w:rsidR="00000000" w:rsidRDefault="00765016">
            <w:pPr>
              <w:jc w:val="center"/>
              <w:rPr>
                <w:b/>
                <w:sz w:val="24"/>
              </w:rPr>
            </w:pPr>
            <w:r>
              <w:rPr>
                <w:rFonts w:hint="eastAsia"/>
                <w:b/>
                <w:sz w:val="24"/>
              </w:rPr>
              <w:t>专业培养目标</w:t>
            </w:r>
          </w:p>
        </w:tc>
        <w:tc>
          <w:tcPr>
            <w:tcW w:w="11898" w:type="dxa"/>
            <w:gridSpan w:val="5"/>
            <w:vAlign w:val="center"/>
          </w:tcPr>
          <w:p w:rsidR="00000000" w:rsidRDefault="00765016">
            <w:pPr>
              <w:spacing w:line="400" w:lineRule="exact"/>
              <w:ind w:firstLineChars="200" w:firstLine="480"/>
              <w:rPr>
                <w:sz w:val="24"/>
              </w:rPr>
            </w:pPr>
            <w:r>
              <w:rPr>
                <w:rFonts w:ascii="宋体" w:hAnsi="宋体" w:hint="eastAsia"/>
                <w:sz w:val="24"/>
              </w:rPr>
              <w:t>本专业培养德、智、体、美全面发展，具有良好的文化修养和职业道德，</w:t>
            </w:r>
            <w:r>
              <w:rPr>
                <w:rFonts w:ascii="宋体" w:hAnsi="宋体" w:hint="eastAsia"/>
                <w:color w:val="000000"/>
                <w:kern w:val="0"/>
                <w:sz w:val="24"/>
              </w:rPr>
              <w:t>与我国社会主义现代化建设和文化</w:t>
            </w:r>
            <w:r>
              <w:rPr>
                <w:rFonts w:ascii="宋体" w:hAnsi="宋体" w:hint="eastAsia"/>
                <w:color w:val="000000"/>
                <w:spacing w:val="-6"/>
                <w:kern w:val="0"/>
                <w:sz w:val="24"/>
              </w:rPr>
              <w:t>事业发展需求相适应的，具有在第一</w:t>
            </w:r>
            <w:r>
              <w:rPr>
                <w:rFonts w:ascii="宋体" w:hAnsi="宋体" w:hint="eastAsia"/>
                <w:spacing w:val="-6"/>
                <w:kern w:val="0"/>
                <w:sz w:val="24"/>
              </w:rPr>
              <w:t>线从事文艺表演、艺术策划和教学的</w:t>
            </w:r>
            <w:r>
              <w:rPr>
                <w:rFonts w:ascii="宋体" w:hAnsi="宋体" w:hint="eastAsia"/>
                <w:sz w:val="24"/>
              </w:rPr>
              <w:t>生产、服务、管理一线工作的的</w:t>
            </w:r>
            <w:r>
              <w:rPr>
                <w:rFonts w:ascii="宋体" w:hAnsi="宋体"/>
                <w:sz w:val="24"/>
              </w:rPr>
              <w:t>发展型、复合型和创新型</w:t>
            </w:r>
            <w:r>
              <w:rPr>
                <w:rFonts w:ascii="宋体" w:hAnsi="宋体" w:hint="eastAsia"/>
                <w:sz w:val="24"/>
              </w:rPr>
              <w:t>技术技能人才。</w:t>
            </w:r>
          </w:p>
        </w:tc>
      </w:tr>
      <w:tr w:rsidR="00000000">
        <w:trPr>
          <w:trHeight w:val="656"/>
        </w:trPr>
        <w:tc>
          <w:tcPr>
            <w:tcW w:w="2276" w:type="dxa"/>
            <w:vAlign w:val="center"/>
          </w:tcPr>
          <w:p w:rsidR="00000000" w:rsidRDefault="00765016">
            <w:pPr>
              <w:jc w:val="center"/>
              <w:rPr>
                <w:b/>
                <w:sz w:val="24"/>
              </w:rPr>
            </w:pPr>
            <w:r>
              <w:rPr>
                <w:rFonts w:hint="eastAsia"/>
                <w:b/>
                <w:sz w:val="24"/>
              </w:rPr>
              <w:t>对</w:t>
            </w:r>
            <w:r>
              <w:rPr>
                <w:rFonts w:hint="eastAsia"/>
                <w:b/>
                <w:sz w:val="24"/>
              </w:rPr>
              <w:t>应就业岗位</w:t>
            </w:r>
          </w:p>
        </w:tc>
        <w:tc>
          <w:tcPr>
            <w:tcW w:w="11898" w:type="dxa"/>
            <w:gridSpan w:val="5"/>
            <w:vAlign w:val="center"/>
          </w:tcPr>
          <w:p w:rsidR="00000000" w:rsidRDefault="00765016">
            <w:pPr>
              <w:ind w:firstLineChars="200" w:firstLine="480"/>
              <w:rPr>
                <w:sz w:val="24"/>
              </w:rPr>
            </w:pPr>
            <w:r>
              <w:rPr>
                <w:rFonts w:hint="eastAsia"/>
                <w:sz w:val="24"/>
              </w:rPr>
              <w:t>主要就业单位：</w:t>
            </w:r>
            <w:r>
              <w:rPr>
                <w:rFonts w:hint="eastAsia"/>
                <w:sz w:val="24"/>
              </w:rPr>
              <w:t>歌舞团</w:t>
            </w:r>
            <w:r>
              <w:rPr>
                <w:rFonts w:hint="eastAsia"/>
                <w:sz w:val="24"/>
              </w:rPr>
              <w:t>、</w:t>
            </w:r>
            <w:r>
              <w:rPr>
                <w:rFonts w:hint="eastAsia"/>
                <w:sz w:val="24"/>
              </w:rPr>
              <w:t>文化馆</w:t>
            </w:r>
            <w:r>
              <w:rPr>
                <w:rFonts w:hint="eastAsia"/>
                <w:sz w:val="24"/>
              </w:rPr>
              <w:t>、</w:t>
            </w:r>
            <w:r>
              <w:rPr>
                <w:rFonts w:hint="eastAsia"/>
                <w:sz w:val="24"/>
              </w:rPr>
              <w:t>小学</w:t>
            </w:r>
            <w:r>
              <w:rPr>
                <w:rFonts w:hint="eastAsia"/>
                <w:sz w:val="24"/>
              </w:rPr>
              <w:t>、</w:t>
            </w:r>
            <w:r>
              <w:rPr>
                <w:rFonts w:hint="eastAsia"/>
                <w:sz w:val="24"/>
              </w:rPr>
              <w:t>幼儿园</w:t>
            </w:r>
            <w:r>
              <w:rPr>
                <w:rFonts w:hint="eastAsia"/>
                <w:sz w:val="24"/>
              </w:rPr>
              <w:t>、</w:t>
            </w:r>
            <w:r>
              <w:rPr>
                <w:rFonts w:hint="eastAsia"/>
                <w:sz w:val="24"/>
              </w:rPr>
              <w:t>传媒公司</w:t>
            </w:r>
            <w:r>
              <w:rPr>
                <w:rFonts w:hint="eastAsia"/>
                <w:sz w:val="24"/>
              </w:rPr>
              <w:t>等。</w:t>
            </w:r>
            <w:r>
              <w:rPr>
                <w:rFonts w:hint="eastAsia"/>
                <w:sz w:val="24"/>
              </w:rPr>
              <w:t xml:space="preserve"> </w:t>
            </w:r>
          </w:p>
          <w:p w:rsidR="00000000" w:rsidRDefault="00765016">
            <w:pPr>
              <w:ind w:firstLineChars="200" w:firstLine="480"/>
              <w:rPr>
                <w:sz w:val="24"/>
              </w:rPr>
            </w:pPr>
            <w:r>
              <w:rPr>
                <w:rFonts w:hint="eastAsia"/>
                <w:sz w:val="24"/>
              </w:rPr>
              <w:t>主要就业部门：</w:t>
            </w:r>
            <w:r>
              <w:rPr>
                <w:rFonts w:hint="eastAsia"/>
                <w:sz w:val="24"/>
              </w:rPr>
              <w:t>演艺策划</w:t>
            </w:r>
            <w:r>
              <w:rPr>
                <w:rFonts w:hint="eastAsia"/>
                <w:sz w:val="24"/>
              </w:rPr>
              <w:t>部、</w:t>
            </w:r>
            <w:r>
              <w:rPr>
                <w:rFonts w:hint="eastAsia"/>
                <w:sz w:val="24"/>
              </w:rPr>
              <w:t>艺术管理</w:t>
            </w:r>
            <w:r>
              <w:rPr>
                <w:rFonts w:hint="eastAsia"/>
                <w:sz w:val="24"/>
              </w:rPr>
              <w:t>、</w:t>
            </w:r>
            <w:r>
              <w:rPr>
                <w:rFonts w:hint="eastAsia"/>
                <w:sz w:val="24"/>
              </w:rPr>
              <w:t>演员</w:t>
            </w:r>
            <w:r>
              <w:rPr>
                <w:rFonts w:hint="eastAsia"/>
                <w:sz w:val="24"/>
              </w:rPr>
              <w:t>等。</w:t>
            </w:r>
          </w:p>
        </w:tc>
      </w:tr>
      <w:tr w:rsidR="00000000">
        <w:trPr>
          <w:trHeight w:val="695"/>
        </w:trPr>
        <w:tc>
          <w:tcPr>
            <w:tcW w:w="2276" w:type="dxa"/>
            <w:vAlign w:val="center"/>
          </w:tcPr>
          <w:p w:rsidR="00000000" w:rsidRDefault="00765016">
            <w:pPr>
              <w:jc w:val="center"/>
              <w:rPr>
                <w:b/>
                <w:sz w:val="24"/>
              </w:rPr>
            </w:pPr>
            <w:r>
              <w:rPr>
                <w:rFonts w:hint="eastAsia"/>
                <w:b/>
                <w:sz w:val="24"/>
              </w:rPr>
              <w:t>所应具备的核心能力</w:t>
            </w:r>
          </w:p>
        </w:tc>
        <w:tc>
          <w:tcPr>
            <w:tcW w:w="11898" w:type="dxa"/>
            <w:gridSpan w:val="5"/>
            <w:vAlign w:val="center"/>
          </w:tcPr>
          <w:p w:rsidR="00000000" w:rsidRDefault="00765016">
            <w:pPr>
              <w:spacing w:line="40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）掌握本专业必备的语言表达、文字表达及其他文化知识；</w:t>
            </w:r>
          </w:p>
          <w:p w:rsidR="00000000" w:rsidRDefault="00765016">
            <w:pPr>
              <w:spacing w:line="40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）掌握</w:t>
            </w:r>
            <w:r>
              <w:rPr>
                <w:rFonts w:ascii="宋体" w:hAnsi="宋体" w:cs="宋体" w:hint="eastAsia"/>
                <w:kern w:val="0"/>
                <w:sz w:val="24"/>
              </w:rPr>
              <w:t>表演艺术基本理论知识</w:t>
            </w:r>
            <w:r>
              <w:rPr>
                <w:rFonts w:ascii="宋体" w:hAnsi="宋体" w:cs="宋体" w:hint="eastAsia"/>
                <w:sz w:val="24"/>
              </w:rPr>
              <w:t>；</w:t>
            </w:r>
          </w:p>
          <w:p w:rsidR="00000000" w:rsidRDefault="00765016">
            <w:pPr>
              <w:spacing w:line="40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）掌握</w:t>
            </w:r>
            <w:r>
              <w:rPr>
                <w:rFonts w:ascii="宋体" w:hAnsi="宋体" w:cs="宋体" w:hint="eastAsia"/>
                <w:kern w:val="0"/>
                <w:sz w:val="24"/>
              </w:rPr>
              <w:t>表演艺术基本技能技艺</w:t>
            </w:r>
            <w:r>
              <w:rPr>
                <w:rFonts w:ascii="宋体" w:hAnsi="宋体" w:cs="宋体" w:hint="eastAsia"/>
                <w:sz w:val="24"/>
              </w:rPr>
              <w:t>；</w:t>
            </w:r>
          </w:p>
          <w:p w:rsidR="00000000" w:rsidRDefault="00765016">
            <w:pPr>
              <w:spacing w:line="40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kern w:val="0"/>
                <w:sz w:val="24"/>
              </w:rPr>
              <w:t>掌握艺术策划的</w:t>
            </w:r>
            <w:r>
              <w:rPr>
                <w:rFonts w:ascii="宋体" w:hAnsi="宋体" w:cs="宋体" w:hint="eastAsia"/>
                <w:sz w:val="24"/>
              </w:rPr>
              <w:t>相关知识。</w:t>
            </w:r>
          </w:p>
          <w:p w:rsidR="00000000" w:rsidRDefault="00765016">
            <w:pPr>
              <w:ind w:firstLineChars="200" w:firstLine="480"/>
              <w:rPr>
                <w:sz w:val="24"/>
              </w:rPr>
            </w:pPr>
          </w:p>
        </w:tc>
      </w:tr>
      <w:tr w:rsidR="00000000">
        <w:trPr>
          <w:trHeight w:val="608"/>
        </w:trPr>
        <w:tc>
          <w:tcPr>
            <w:tcW w:w="2276" w:type="dxa"/>
            <w:vAlign w:val="center"/>
          </w:tcPr>
          <w:p w:rsidR="00000000" w:rsidRDefault="00765016">
            <w:pPr>
              <w:jc w:val="center"/>
              <w:rPr>
                <w:b/>
                <w:sz w:val="24"/>
              </w:rPr>
            </w:pPr>
            <w:r>
              <w:rPr>
                <w:rFonts w:hint="eastAsia"/>
                <w:b/>
                <w:sz w:val="24"/>
              </w:rPr>
              <w:t>核心课程名称及学分</w:t>
            </w:r>
          </w:p>
        </w:tc>
        <w:tc>
          <w:tcPr>
            <w:tcW w:w="11898" w:type="dxa"/>
            <w:gridSpan w:val="5"/>
            <w:vAlign w:val="center"/>
          </w:tcPr>
          <w:p w:rsidR="00000000" w:rsidRDefault="00765016">
            <w:pPr>
              <w:jc w:val="left"/>
              <w:rPr>
                <w:rFonts w:hint="eastAsia"/>
                <w:sz w:val="24"/>
              </w:rPr>
            </w:pPr>
            <w:r>
              <w:rPr>
                <w:rFonts w:hint="eastAsia"/>
                <w:sz w:val="24"/>
              </w:rPr>
              <w:t>声乐方向：声乐演唱</w:t>
            </w:r>
            <w:r>
              <w:rPr>
                <w:rFonts w:hint="eastAsia"/>
                <w:sz w:val="24"/>
              </w:rPr>
              <w:t>24</w:t>
            </w:r>
            <w:r>
              <w:rPr>
                <w:rFonts w:hint="eastAsia"/>
                <w:sz w:val="24"/>
              </w:rPr>
              <w:t>，舞蹈</w:t>
            </w:r>
            <w:r>
              <w:rPr>
                <w:rFonts w:hint="eastAsia"/>
                <w:sz w:val="24"/>
              </w:rPr>
              <w:t>36</w:t>
            </w:r>
            <w:r>
              <w:rPr>
                <w:rFonts w:hint="eastAsia"/>
                <w:sz w:val="24"/>
              </w:rPr>
              <w:t>，合唱</w:t>
            </w:r>
            <w:r>
              <w:rPr>
                <w:rFonts w:hint="eastAsia"/>
                <w:sz w:val="24"/>
              </w:rPr>
              <w:t>12</w:t>
            </w:r>
            <w:r>
              <w:rPr>
                <w:rFonts w:hint="eastAsia"/>
                <w:sz w:val="24"/>
              </w:rPr>
              <w:t>，剧目</w:t>
            </w:r>
            <w:r>
              <w:rPr>
                <w:rFonts w:hint="eastAsia"/>
                <w:sz w:val="24"/>
              </w:rPr>
              <w:t>16</w:t>
            </w:r>
            <w:r>
              <w:rPr>
                <w:rFonts w:hint="eastAsia"/>
                <w:sz w:val="24"/>
              </w:rPr>
              <w:t>，现代流行舞</w:t>
            </w:r>
            <w:r>
              <w:rPr>
                <w:rFonts w:hint="eastAsia"/>
                <w:sz w:val="24"/>
              </w:rPr>
              <w:t>8</w:t>
            </w:r>
          </w:p>
          <w:p w:rsidR="00000000" w:rsidRDefault="00765016">
            <w:pPr>
              <w:jc w:val="left"/>
              <w:rPr>
                <w:rFonts w:hint="eastAsia"/>
                <w:sz w:val="24"/>
              </w:rPr>
            </w:pPr>
            <w:r>
              <w:rPr>
                <w:rFonts w:hint="eastAsia"/>
                <w:sz w:val="24"/>
              </w:rPr>
              <w:t>器乐方向：钢琴演奏</w:t>
            </w:r>
            <w:r>
              <w:rPr>
                <w:rFonts w:hint="eastAsia"/>
                <w:sz w:val="24"/>
              </w:rPr>
              <w:t>12</w:t>
            </w:r>
            <w:r>
              <w:rPr>
                <w:rFonts w:hint="eastAsia"/>
                <w:sz w:val="24"/>
              </w:rPr>
              <w:t>，双排键演奏</w:t>
            </w:r>
            <w:r>
              <w:rPr>
                <w:rFonts w:hint="eastAsia"/>
                <w:sz w:val="24"/>
              </w:rPr>
              <w:t>12</w:t>
            </w:r>
            <w:r>
              <w:rPr>
                <w:rFonts w:hint="eastAsia"/>
                <w:sz w:val="24"/>
              </w:rPr>
              <w:t>，器乐合奏</w:t>
            </w:r>
            <w:r>
              <w:rPr>
                <w:rFonts w:hint="eastAsia"/>
                <w:sz w:val="24"/>
              </w:rPr>
              <w:t>36</w:t>
            </w:r>
            <w:r>
              <w:rPr>
                <w:rFonts w:hint="eastAsia"/>
                <w:sz w:val="24"/>
              </w:rPr>
              <w:t>，剧目</w:t>
            </w:r>
            <w:r>
              <w:rPr>
                <w:rFonts w:hint="eastAsia"/>
                <w:sz w:val="24"/>
              </w:rPr>
              <w:t>28</w:t>
            </w:r>
            <w:r>
              <w:rPr>
                <w:rFonts w:hint="eastAsia"/>
                <w:sz w:val="24"/>
              </w:rPr>
              <w:t>，江南丝竹演奏</w:t>
            </w:r>
            <w:r>
              <w:rPr>
                <w:rFonts w:hint="eastAsia"/>
                <w:sz w:val="24"/>
              </w:rPr>
              <w:t>40</w:t>
            </w:r>
            <w:r>
              <w:rPr>
                <w:rFonts w:hint="eastAsia"/>
                <w:sz w:val="24"/>
              </w:rPr>
              <w:t>，民乐演奏</w:t>
            </w:r>
            <w:r>
              <w:rPr>
                <w:rFonts w:hint="eastAsia"/>
                <w:sz w:val="24"/>
              </w:rPr>
              <w:t>12</w:t>
            </w:r>
          </w:p>
          <w:p w:rsidR="00000000" w:rsidRDefault="00765016">
            <w:pPr>
              <w:jc w:val="left"/>
              <w:rPr>
                <w:rFonts w:hint="eastAsia"/>
                <w:sz w:val="24"/>
              </w:rPr>
            </w:pPr>
            <w:r>
              <w:rPr>
                <w:rFonts w:hint="eastAsia"/>
                <w:sz w:val="24"/>
              </w:rPr>
              <w:t>共同课：乐理视唱</w:t>
            </w:r>
            <w:r>
              <w:rPr>
                <w:rFonts w:hint="eastAsia"/>
                <w:sz w:val="24"/>
              </w:rPr>
              <w:t>12</w:t>
            </w:r>
            <w:r>
              <w:rPr>
                <w:rFonts w:hint="eastAsia"/>
                <w:sz w:val="24"/>
              </w:rPr>
              <w:t>，艺术</w:t>
            </w:r>
            <w:r>
              <w:rPr>
                <w:rFonts w:hint="eastAsia"/>
                <w:sz w:val="24"/>
              </w:rPr>
              <w:t>概论</w:t>
            </w:r>
            <w:r>
              <w:rPr>
                <w:rFonts w:hint="eastAsia"/>
                <w:sz w:val="24"/>
              </w:rPr>
              <w:t>4</w:t>
            </w:r>
            <w:r>
              <w:rPr>
                <w:rFonts w:hint="eastAsia"/>
                <w:sz w:val="24"/>
              </w:rPr>
              <w:t>，音乐欣赏</w:t>
            </w:r>
            <w:r>
              <w:rPr>
                <w:rFonts w:hint="eastAsia"/>
                <w:sz w:val="24"/>
              </w:rPr>
              <w:t>8</w:t>
            </w:r>
            <w:r>
              <w:rPr>
                <w:rFonts w:hint="eastAsia"/>
                <w:sz w:val="24"/>
              </w:rPr>
              <w:t>，即兴伴奏</w:t>
            </w:r>
            <w:r>
              <w:rPr>
                <w:rFonts w:hint="eastAsia"/>
                <w:sz w:val="24"/>
              </w:rPr>
              <w:t>16</w:t>
            </w:r>
          </w:p>
        </w:tc>
      </w:tr>
      <w:tr w:rsidR="00000000">
        <w:trPr>
          <w:trHeight w:val="750"/>
        </w:trPr>
        <w:tc>
          <w:tcPr>
            <w:tcW w:w="2276" w:type="dxa"/>
            <w:vAlign w:val="center"/>
          </w:tcPr>
          <w:p w:rsidR="00000000" w:rsidRDefault="00765016">
            <w:pPr>
              <w:jc w:val="center"/>
              <w:rPr>
                <w:b/>
                <w:sz w:val="24"/>
              </w:rPr>
            </w:pPr>
            <w:r>
              <w:rPr>
                <w:rFonts w:hint="eastAsia"/>
                <w:b/>
                <w:sz w:val="24"/>
              </w:rPr>
              <w:t>拟修订思路</w:t>
            </w:r>
          </w:p>
        </w:tc>
        <w:tc>
          <w:tcPr>
            <w:tcW w:w="11898" w:type="dxa"/>
            <w:gridSpan w:val="5"/>
            <w:vAlign w:val="center"/>
          </w:tcPr>
          <w:p w:rsidR="00000000" w:rsidRDefault="00765016">
            <w:pPr>
              <w:ind w:firstLineChars="200" w:firstLine="482"/>
              <w:jc w:val="left"/>
              <w:rPr>
                <w:rFonts w:hint="eastAsia"/>
                <w:sz w:val="24"/>
              </w:rPr>
            </w:pPr>
            <w:r>
              <w:rPr>
                <w:rFonts w:hint="eastAsia"/>
                <w:b/>
                <w:sz w:val="24"/>
              </w:rPr>
              <w:t>剖析问题：</w:t>
            </w:r>
            <w:r>
              <w:rPr>
                <w:rFonts w:hint="eastAsia"/>
                <w:sz w:val="24"/>
              </w:rPr>
              <w:t>1</w:t>
            </w:r>
            <w:r>
              <w:rPr>
                <w:rFonts w:hint="eastAsia"/>
                <w:sz w:val="24"/>
              </w:rPr>
              <w:t>、</w:t>
            </w:r>
            <w:r>
              <w:rPr>
                <w:rFonts w:hint="eastAsia"/>
                <w:sz w:val="24"/>
              </w:rPr>
              <w:t>从专业平台课程来看，乐理视唱课程是学习音乐表演专业孩子不可或缺的技能，对乐理、视唱不懂基本就是一个乐盲</w:t>
            </w:r>
            <w:r>
              <w:rPr>
                <w:rFonts w:hint="eastAsia"/>
                <w:sz w:val="24"/>
              </w:rPr>
              <w:t>，通过前面的技能竞赛的素质考核就很明显看出学生的乐理和视唱的水平太差。</w:t>
            </w:r>
          </w:p>
          <w:p w:rsidR="00000000" w:rsidRDefault="00765016">
            <w:pPr>
              <w:numPr>
                <w:ilvl w:val="0"/>
                <w:numId w:val="1"/>
              </w:numPr>
              <w:ind w:firstLineChars="200" w:firstLine="480"/>
              <w:jc w:val="left"/>
              <w:rPr>
                <w:sz w:val="24"/>
              </w:rPr>
            </w:pPr>
            <w:r>
              <w:rPr>
                <w:rFonts w:hint="eastAsia"/>
                <w:sz w:val="24"/>
              </w:rPr>
              <w:t>声乐学生的舞蹈形体课</w:t>
            </w:r>
            <w:r>
              <w:rPr>
                <w:rFonts w:hint="eastAsia"/>
                <w:sz w:val="24"/>
              </w:rPr>
              <w:t>和街舞课的比例</w:t>
            </w:r>
            <w:r>
              <w:rPr>
                <w:rFonts w:hint="eastAsia"/>
                <w:sz w:val="24"/>
              </w:rPr>
              <w:t>来看，</w:t>
            </w:r>
            <w:r>
              <w:rPr>
                <w:rFonts w:hint="eastAsia"/>
                <w:sz w:val="24"/>
              </w:rPr>
              <w:t>还需要再做进一步的调整。</w:t>
            </w:r>
          </w:p>
          <w:p w:rsidR="00000000" w:rsidRDefault="00765016">
            <w:pPr>
              <w:numPr>
                <w:ilvl w:val="0"/>
                <w:numId w:val="1"/>
              </w:numPr>
              <w:ind w:firstLineChars="200" w:firstLine="480"/>
              <w:jc w:val="left"/>
              <w:rPr>
                <w:sz w:val="24"/>
              </w:rPr>
            </w:pPr>
            <w:r>
              <w:rPr>
                <w:rFonts w:hint="eastAsia"/>
                <w:sz w:val="24"/>
              </w:rPr>
              <w:t>加重钢琴辅修比重，让学生建立良好的固定音高概念。</w:t>
            </w:r>
          </w:p>
          <w:p w:rsidR="00000000" w:rsidRDefault="00765016">
            <w:pPr>
              <w:ind w:firstLineChars="200" w:firstLine="482"/>
              <w:jc w:val="left"/>
              <w:rPr>
                <w:sz w:val="24"/>
              </w:rPr>
            </w:pPr>
            <w:r>
              <w:rPr>
                <w:b/>
                <w:sz w:val="24"/>
              </w:rPr>
              <w:t>16</w:t>
            </w:r>
            <w:r>
              <w:rPr>
                <w:rFonts w:hint="eastAsia"/>
                <w:b/>
                <w:sz w:val="24"/>
              </w:rPr>
              <w:t>年修订思路：</w:t>
            </w:r>
            <w:r>
              <w:rPr>
                <w:rFonts w:hint="eastAsia"/>
                <w:sz w:val="24"/>
              </w:rPr>
              <w:t>根据</w:t>
            </w:r>
            <w:r>
              <w:rPr>
                <w:rFonts w:hint="eastAsia"/>
                <w:sz w:val="24"/>
              </w:rPr>
              <w:t>国家技能比赛的要求，</w:t>
            </w:r>
            <w:r>
              <w:rPr>
                <w:rFonts w:hint="eastAsia"/>
                <w:sz w:val="24"/>
              </w:rPr>
              <w:t>16</w:t>
            </w:r>
            <w:r>
              <w:rPr>
                <w:rFonts w:hint="eastAsia"/>
                <w:sz w:val="24"/>
              </w:rPr>
              <w:t>年的人才培养方案，将要把专业平台课程的比重加大，特别是乐理视唱课程，要加大比重。声乐学生的舞蹈课程要将形体和街舞课的</w:t>
            </w:r>
            <w:r>
              <w:rPr>
                <w:rFonts w:hint="eastAsia"/>
                <w:sz w:val="24"/>
              </w:rPr>
              <w:t>比例做一次调整。并且声乐学生和器乐学生的钢琴辅修课程的比重也要加大，这样能够更好地提升学生的专业素养。</w:t>
            </w:r>
          </w:p>
        </w:tc>
      </w:tr>
      <w:tr w:rsidR="00000000">
        <w:trPr>
          <w:trHeight w:val="778"/>
        </w:trPr>
        <w:tc>
          <w:tcPr>
            <w:tcW w:w="2276" w:type="dxa"/>
            <w:vAlign w:val="center"/>
          </w:tcPr>
          <w:p w:rsidR="00000000" w:rsidRDefault="00765016">
            <w:pPr>
              <w:jc w:val="center"/>
              <w:rPr>
                <w:b/>
                <w:sz w:val="24"/>
              </w:rPr>
            </w:pPr>
            <w:r>
              <w:rPr>
                <w:rFonts w:hint="eastAsia"/>
                <w:b/>
                <w:sz w:val="24"/>
              </w:rPr>
              <w:lastRenderedPageBreak/>
              <w:t>现方案实施总结</w:t>
            </w:r>
          </w:p>
        </w:tc>
        <w:tc>
          <w:tcPr>
            <w:tcW w:w="11898" w:type="dxa"/>
            <w:gridSpan w:val="5"/>
            <w:vAlign w:val="center"/>
          </w:tcPr>
          <w:p w:rsidR="00000000" w:rsidRDefault="00765016">
            <w:pPr>
              <w:ind w:firstLineChars="200" w:firstLine="482"/>
              <w:jc w:val="left"/>
              <w:rPr>
                <w:sz w:val="24"/>
              </w:rPr>
            </w:pPr>
            <w:r>
              <w:rPr>
                <w:rFonts w:hint="eastAsia"/>
                <w:b/>
                <w:sz w:val="24"/>
              </w:rPr>
              <w:t>现实行的艺术</w:t>
            </w:r>
            <w:r>
              <w:rPr>
                <w:rFonts w:hint="eastAsia"/>
                <w:b/>
                <w:sz w:val="24"/>
              </w:rPr>
              <w:t>表演</w:t>
            </w:r>
            <w:r>
              <w:rPr>
                <w:rFonts w:hint="eastAsia"/>
                <w:b/>
                <w:sz w:val="24"/>
              </w:rPr>
              <w:t>五年制高职计划的实施总结：</w:t>
            </w:r>
          </w:p>
          <w:p w:rsidR="00000000" w:rsidRDefault="00765016">
            <w:pPr>
              <w:ind w:firstLineChars="200" w:firstLine="480"/>
              <w:jc w:val="left"/>
              <w:rPr>
                <w:sz w:val="24"/>
              </w:rPr>
            </w:pPr>
            <w:r>
              <w:rPr>
                <w:sz w:val="24"/>
              </w:rPr>
              <w:t>1</w:t>
            </w:r>
            <w:r>
              <w:rPr>
                <w:sz w:val="24"/>
              </w:rPr>
              <w:t>、</w:t>
            </w:r>
            <w:r>
              <w:rPr>
                <w:rFonts w:hint="eastAsia"/>
                <w:sz w:val="24"/>
              </w:rPr>
              <w:t>现我校执行艺术</w:t>
            </w:r>
            <w:r>
              <w:rPr>
                <w:rFonts w:hint="eastAsia"/>
                <w:sz w:val="24"/>
              </w:rPr>
              <w:t>表演</w:t>
            </w:r>
            <w:r>
              <w:rPr>
                <w:rFonts w:hint="eastAsia"/>
                <w:sz w:val="24"/>
              </w:rPr>
              <w:t>的人才培养方案，严格根据省教育厅及联院对文化课程的开设要求，文化课程在总课程中占有的比重较大，艺术专业学生和其他工科五年制专业学生一样的</w:t>
            </w:r>
            <w:r>
              <w:rPr>
                <w:rFonts w:hint="eastAsia"/>
                <w:sz w:val="24"/>
              </w:rPr>
              <w:t>文化</w:t>
            </w:r>
            <w:r>
              <w:rPr>
                <w:rFonts w:hint="eastAsia"/>
                <w:sz w:val="24"/>
              </w:rPr>
              <w:t>课程</w:t>
            </w:r>
            <w:r>
              <w:rPr>
                <w:rFonts w:hint="eastAsia"/>
                <w:sz w:val="24"/>
              </w:rPr>
              <w:t>，确实会有些困难，建议是否可以根据艺术专业学生的实际情况，适当降低文化课学习比重。</w:t>
            </w:r>
          </w:p>
          <w:p w:rsidR="00000000" w:rsidRDefault="00765016">
            <w:pPr>
              <w:ind w:firstLineChars="200" w:firstLine="480"/>
              <w:jc w:val="left"/>
              <w:rPr>
                <w:rFonts w:hint="eastAsia"/>
                <w:sz w:val="24"/>
              </w:rPr>
            </w:pPr>
            <w:r>
              <w:rPr>
                <w:rFonts w:hint="eastAsia"/>
                <w:sz w:val="24"/>
              </w:rPr>
              <w:t>2</w:t>
            </w:r>
            <w:r>
              <w:rPr>
                <w:rFonts w:hint="eastAsia"/>
                <w:sz w:val="24"/>
              </w:rPr>
              <w:t>、声乐学生的剧目课建议与合唱课程合并为剧目合唱课，，因为都是为了展示剧目。器乐方向可开设一些有</w:t>
            </w:r>
            <w:r>
              <w:rPr>
                <w:rFonts w:hint="eastAsia"/>
                <w:sz w:val="24"/>
              </w:rPr>
              <w:t>价值的剧目课程如弦乐重奏。</w:t>
            </w:r>
          </w:p>
        </w:tc>
      </w:tr>
      <w:tr w:rsidR="00000000">
        <w:trPr>
          <w:trHeight w:val="846"/>
        </w:trPr>
        <w:tc>
          <w:tcPr>
            <w:tcW w:w="2276" w:type="dxa"/>
            <w:vAlign w:val="center"/>
          </w:tcPr>
          <w:p w:rsidR="00000000" w:rsidRDefault="00765016">
            <w:pPr>
              <w:jc w:val="center"/>
              <w:rPr>
                <w:sz w:val="24"/>
              </w:rPr>
            </w:pPr>
            <w:r>
              <w:rPr>
                <w:rFonts w:hint="eastAsia"/>
                <w:b/>
                <w:sz w:val="24"/>
              </w:rPr>
              <w:t>已开发校本教材的名称及使用情况</w:t>
            </w:r>
          </w:p>
        </w:tc>
        <w:tc>
          <w:tcPr>
            <w:tcW w:w="11898" w:type="dxa"/>
            <w:gridSpan w:val="5"/>
            <w:vAlign w:val="center"/>
          </w:tcPr>
          <w:p w:rsidR="00000000" w:rsidRDefault="00765016">
            <w:pPr>
              <w:ind w:firstLineChars="200" w:firstLine="480"/>
              <w:rPr>
                <w:sz w:val="24"/>
              </w:rPr>
            </w:pPr>
          </w:p>
        </w:tc>
      </w:tr>
      <w:tr w:rsidR="00000000">
        <w:trPr>
          <w:trHeight w:val="977"/>
        </w:trPr>
        <w:tc>
          <w:tcPr>
            <w:tcW w:w="2276" w:type="dxa"/>
            <w:vAlign w:val="center"/>
          </w:tcPr>
          <w:p w:rsidR="00000000" w:rsidRDefault="00765016">
            <w:pPr>
              <w:jc w:val="center"/>
              <w:rPr>
                <w:b/>
                <w:sz w:val="24"/>
              </w:rPr>
            </w:pPr>
            <w:r>
              <w:rPr>
                <w:rFonts w:hint="eastAsia"/>
                <w:b/>
                <w:sz w:val="24"/>
              </w:rPr>
              <w:t>拟开发校本教材名称</w:t>
            </w:r>
          </w:p>
        </w:tc>
        <w:tc>
          <w:tcPr>
            <w:tcW w:w="11898" w:type="dxa"/>
            <w:gridSpan w:val="5"/>
            <w:vAlign w:val="center"/>
          </w:tcPr>
          <w:p w:rsidR="00000000" w:rsidRDefault="00765016">
            <w:pPr>
              <w:ind w:firstLineChars="200" w:firstLine="480"/>
              <w:jc w:val="left"/>
              <w:rPr>
                <w:sz w:val="24"/>
              </w:rPr>
            </w:pPr>
            <w:r>
              <w:rPr>
                <w:rFonts w:hint="eastAsia"/>
                <w:sz w:val="24"/>
              </w:rPr>
              <w:t>申报联院专业教材编写：</w:t>
            </w:r>
            <w:r>
              <w:rPr>
                <w:rFonts w:hint="eastAsia"/>
                <w:sz w:val="24"/>
              </w:rPr>
              <w:t>《声乐演唱应用教材》</w:t>
            </w:r>
          </w:p>
        </w:tc>
      </w:tr>
    </w:tbl>
    <w:p w:rsidR="00000000" w:rsidRDefault="00765016">
      <w:pPr>
        <w:jc w:val="center"/>
        <w:rPr>
          <w:b/>
          <w:sz w:val="32"/>
          <w:szCs w:val="32"/>
        </w:rPr>
      </w:pPr>
    </w:p>
    <w:p w:rsidR="00000000" w:rsidRDefault="00765016">
      <w:pPr>
        <w:jc w:val="left"/>
        <w:rPr>
          <w:b/>
          <w:sz w:val="32"/>
          <w:szCs w:val="32"/>
          <w:u w:val="single"/>
        </w:rPr>
      </w:pPr>
      <w:r>
        <w:rPr>
          <w:rFonts w:hint="eastAsia"/>
          <w:b/>
          <w:sz w:val="32"/>
          <w:szCs w:val="32"/>
        </w:rPr>
        <w:t>审核人姓名及职务</w:t>
      </w:r>
      <w:r>
        <w:rPr>
          <w:rFonts w:hint="eastAsia"/>
          <w:sz w:val="32"/>
          <w:szCs w:val="32"/>
          <w:u w:val="single"/>
        </w:rPr>
        <w:t xml:space="preserve"> </w:t>
      </w:r>
      <w:r>
        <w:rPr>
          <w:rFonts w:hint="eastAsia"/>
          <w:sz w:val="32"/>
          <w:szCs w:val="32"/>
          <w:u w:val="single"/>
        </w:rPr>
        <w:t>张劲松（副校长）</w:t>
      </w:r>
      <w:r>
        <w:rPr>
          <w:rFonts w:hint="eastAsia"/>
          <w:sz w:val="32"/>
          <w:szCs w:val="32"/>
          <w:u w:val="single"/>
        </w:rPr>
        <w:t xml:space="preserve">   </w:t>
      </w:r>
      <w:r>
        <w:rPr>
          <w:rFonts w:hint="eastAsia"/>
          <w:b/>
          <w:sz w:val="32"/>
          <w:szCs w:val="32"/>
        </w:rPr>
        <w:t xml:space="preserve">                  </w:t>
      </w:r>
      <w:r>
        <w:rPr>
          <w:rFonts w:hint="eastAsia"/>
          <w:b/>
          <w:sz w:val="32"/>
          <w:szCs w:val="32"/>
        </w:rPr>
        <w:t>审核时间</w:t>
      </w:r>
      <w:r>
        <w:rPr>
          <w:rFonts w:hint="eastAsia"/>
          <w:b/>
          <w:sz w:val="32"/>
          <w:szCs w:val="32"/>
        </w:rPr>
        <w:t xml:space="preserve"> </w:t>
      </w:r>
      <w:r>
        <w:rPr>
          <w:rFonts w:hint="eastAsia"/>
          <w:sz w:val="32"/>
          <w:szCs w:val="32"/>
          <w:u w:val="single"/>
        </w:rPr>
        <w:t xml:space="preserve"> 2016</w:t>
      </w:r>
      <w:r>
        <w:rPr>
          <w:rFonts w:hint="eastAsia"/>
          <w:sz w:val="32"/>
          <w:szCs w:val="32"/>
          <w:u w:val="single"/>
        </w:rPr>
        <w:t>年</w:t>
      </w:r>
      <w:r>
        <w:rPr>
          <w:rFonts w:hint="eastAsia"/>
          <w:sz w:val="32"/>
          <w:szCs w:val="32"/>
          <w:u w:val="single"/>
        </w:rPr>
        <w:t xml:space="preserve"> 5</w:t>
      </w:r>
      <w:r>
        <w:rPr>
          <w:rFonts w:hint="eastAsia"/>
          <w:sz w:val="32"/>
          <w:szCs w:val="32"/>
          <w:u w:val="single"/>
        </w:rPr>
        <w:t>月</w:t>
      </w:r>
      <w:r>
        <w:rPr>
          <w:rFonts w:hint="eastAsia"/>
          <w:sz w:val="32"/>
          <w:szCs w:val="32"/>
          <w:u w:val="single"/>
        </w:rPr>
        <w:t>28</w:t>
      </w:r>
      <w:r>
        <w:rPr>
          <w:rFonts w:hint="eastAsia"/>
          <w:sz w:val="32"/>
          <w:szCs w:val="32"/>
          <w:u w:val="single"/>
        </w:rPr>
        <w:t>日</w:t>
      </w:r>
    </w:p>
    <w:p w:rsidR="00765016" w:rsidRDefault="00765016">
      <w:pPr>
        <w:rPr>
          <w:rFonts w:hint="eastAsia"/>
        </w:rPr>
      </w:pPr>
    </w:p>
    <w:sectPr w:rsidR="00765016">
      <w:headerReference w:type="default" r:id="rId8"/>
      <w:footerReference w:type="default" r:id="rId9"/>
      <w:pgSz w:w="16838" w:h="11906" w:orient="landscape"/>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16" w:rsidRDefault="00765016">
      <w:r>
        <w:separator/>
      </w:r>
    </w:p>
  </w:endnote>
  <w:endnote w:type="continuationSeparator" w:id="0">
    <w:p w:rsidR="00765016" w:rsidRDefault="0076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2C6">
    <w:pPr>
      <w:pStyle w:val="a4"/>
      <w:tabs>
        <w:tab w:val="clear" w:pos="4153"/>
        <w:tab w:val="right" w:pos="9072"/>
      </w:tabs>
      <w:rPr>
        <w:rFonts w:ascii="黑体" w:eastAsia="黑体" w:hAnsi="黑体" w:cs="黑体" w:hint="eastAsia"/>
        <w:b/>
        <w:bCs/>
        <w:sz w:val="21"/>
        <w:szCs w:val="21"/>
      </w:rPr>
    </w:pPr>
    <w:r>
      <w:rPr>
        <w:rFonts w:ascii="黑体" w:eastAsia="黑体" w:hAnsi="黑体" w:cs="黑体" w:hint="eastAsia"/>
        <w:b/>
        <w:bCs/>
        <w:noProof/>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000000" w:rsidRDefault="00765016">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4262C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6.6pt;margin-top:0;width:4.6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" filled="f" stroked="f" strokeweight=".5pt">
              <v:path arrowok="t"/>
              <v:textbox style="mso-fit-shape-to-text:t" inset="0,0,0,0">
                <w:txbxContent>
                  <w:p w:rsidR="00000000" w:rsidRDefault="00765016">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4262C6">
                      <w:rPr>
                        <w:noProof/>
                      </w:rPr>
                      <w:t>1</w:t>
                    </w:r>
                    <w:r>
                      <w:rPr>
                        <w:rFonts w:hint="eastAsia"/>
                      </w:rPr>
                      <w:fldChar w:fldCharType="end"/>
                    </w:r>
                  </w:p>
                </w:txbxContent>
              </v:textbox>
              <w10:wrap anchorx="margin"/>
            </v:shape>
          </w:pict>
        </mc:Fallback>
      </mc:AlternateContent>
    </w:r>
    <w:r w:rsidR="00765016">
      <w:rPr>
        <w:rFonts w:ascii="黑体" w:eastAsia="黑体" w:hAnsi="黑体" w:cs="黑体" w:hint="eastAsia"/>
        <w:b/>
        <w:bCs/>
        <w:sz w:val="21"/>
        <w:szCs w:val="21"/>
      </w:rPr>
      <w:tab/>
    </w:r>
    <w:r w:rsidR="00765016">
      <w:rPr>
        <w:rFonts w:ascii="黑体" w:eastAsia="黑体" w:hAnsi="黑体" w:cs="黑体" w:hint="eastAsia"/>
        <w:b/>
        <w:bCs/>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16" w:rsidRDefault="00765016">
      <w:r>
        <w:separator/>
      </w:r>
    </w:p>
  </w:footnote>
  <w:footnote w:type="continuationSeparator" w:id="0">
    <w:p w:rsidR="00765016" w:rsidRDefault="0076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2C6">
    <w:pPr>
      <w:pStyle w:val="a3"/>
      <w:outlineLvl w:val="0"/>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6985</wp:posOffset>
          </wp:positionH>
          <wp:positionV relativeFrom="paragraph">
            <wp:posOffset>154305</wp:posOffset>
          </wp:positionV>
          <wp:extent cx="481965" cy="115570"/>
          <wp:effectExtent l="0" t="0" r="0" b="0"/>
          <wp:wrapTight wrapText="bothSides">
            <wp:wrapPolygon edited="0">
              <wp:start x="0" y="0"/>
              <wp:lineTo x="0" y="17802"/>
              <wp:lineTo x="20490" y="17802"/>
              <wp:lineTo x="20490" y="0"/>
              <wp:lineTo x="0" y="0"/>
            </wp:wrapPolygon>
          </wp:wrapTight>
          <wp:docPr id="3"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115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5016">
      <w:rPr>
        <w:rFonts w:hint="eastAsia"/>
      </w:rPr>
      <w:t xml:space="preserve">                                                                                                                                   </w:t>
    </w:r>
    <w:r w:rsidR="00765016">
      <w:rPr>
        <w:rFonts w:hint="eastAsia"/>
      </w:rPr>
      <w:t xml:space="preserve">        </w:t>
    </w:r>
    <w:r>
      <w:rPr>
        <w:rFonts w:hint="eastAsia"/>
        <w:noProof/>
      </w:rPr>
      <w:drawing>
        <wp:inline distT="0" distB="0" distL="0" distR="0">
          <wp:extent cx="1247775" cy="295275"/>
          <wp:effectExtent l="0" t="0" r="9525" b="9525"/>
          <wp:docPr id="1"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bwMode="auto">
                  <a:xfrm>
                    <a:off x="0" y="0"/>
                    <a:ext cx="1247775" cy="295275"/>
                  </a:xfrm>
                  <a:prstGeom prst="rect">
                    <a:avLst/>
                  </a:prstGeom>
                  <a:noFill/>
                  <a:ln>
                    <a:noFill/>
                  </a:ln>
                </pic:spPr>
              </pic:pic>
            </a:graphicData>
          </a:graphic>
        </wp:inline>
      </w:drawing>
    </w:r>
    <w:r w:rsidR="00765016">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F8DA8"/>
    <w:multiLevelType w:val="singleLevel"/>
    <w:tmpl w:val="574F8DA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C6"/>
    <w:rsid w:val="004262C6"/>
    <w:rsid w:val="00765016"/>
    <w:rsid w:val="0EA86646"/>
    <w:rsid w:val="1D2464CD"/>
    <w:rsid w:val="1D7F1C0C"/>
    <w:rsid w:val="21F42545"/>
    <w:rsid w:val="2E1071BD"/>
    <w:rsid w:val="3C9F7B99"/>
    <w:rsid w:val="4232082B"/>
    <w:rsid w:val="5116230F"/>
    <w:rsid w:val="53F660DB"/>
    <w:rsid w:val="62485205"/>
    <w:rsid w:val="6D0B44F6"/>
    <w:rsid w:val="6E2722CA"/>
    <w:rsid w:val="73125D34"/>
    <w:rsid w:val="74820466"/>
    <w:rsid w:val="74F91558"/>
    <w:rsid w:val="77F37A6A"/>
    <w:rsid w:val="7A1529DA"/>
    <w:rsid w:val="7EC0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table" w:styleId="a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table" w:styleId="a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A1</cp:lastModifiedBy>
  <cp:revision>2</cp:revision>
  <dcterms:created xsi:type="dcterms:W3CDTF">2019-11-01T01:29:00Z</dcterms:created>
  <dcterms:modified xsi:type="dcterms:W3CDTF">2019-11-01T01:29:00Z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