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zCs w:val="36"/>
        </w:rPr>
      </w:pPr>
      <w:r>
        <w:rPr>
          <w:rFonts w:hint="eastAsia"/>
          <w:b/>
          <w:bCs/>
          <w:sz w:val="36"/>
          <w:szCs w:val="36"/>
        </w:rPr>
        <w:t>南京艺德源动漫制作有限公司——企业年报</w:t>
      </w:r>
    </w:p>
    <w:p>
      <w:pPr>
        <w:jc w:val="center"/>
        <w:rPr>
          <w:rFonts w:hint="eastAsia"/>
          <w:sz w:val="36"/>
          <w:szCs w:val="36"/>
        </w:rPr>
      </w:pPr>
      <w:r>
        <w:rPr>
          <w:rFonts w:hint="eastAsia"/>
          <w:b/>
          <w:bCs/>
          <w:sz w:val="36"/>
          <w:szCs w:val="36"/>
        </w:rPr>
        <w:t>（影视动画专业）</w:t>
      </w:r>
    </w:p>
    <w:p>
      <w:pPr>
        <w:rPr>
          <w:sz w:val="28"/>
          <w:szCs w:val="28"/>
        </w:rPr>
      </w:pP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一、企业规模</w:t>
      </w:r>
    </w:p>
    <w:p>
      <w:p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南京艺德源动漫制作有限公司，创办于2012年，拥有一支高素质的员工队伍，是一家专业美术设计公司，为全球游戏、动画及CG影视行业提供高质量的美术设计服务。</w:t>
      </w:r>
      <w:r>
        <w:rPr>
          <w:rFonts w:hint="eastAsia" w:asciiTheme="minorEastAsia" w:hAnsiTheme="minorEastAsia" w:eastAsiaTheme="minorEastAsia" w:cstheme="minorEastAsia"/>
          <w:sz w:val="28"/>
          <w:szCs w:val="28"/>
          <w:lang w:eastAsia="zh-CN"/>
        </w:rPr>
        <w:t>艺德源的业务包括游戏原画设定（角色/场景/道具）、UI、CG商业插画、Matte painting以及动画故事分镜头台本、CG影视脚本的设计和制作。</w:t>
      </w:r>
      <w:r>
        <w:rPr>
          <w:rFonts w:hint="eastAsia" w:asciiTheme="minorEastAsia" w:hAnsiTheme="minorEastAsia" w:eastAsiaTheme="minorEastAsia" w:cstheme="minorEastAsia"/>
          <w:color w:val="000000"/>
          <w:sz w:val="28"/>
          <w:szCs w:val="28"/>
        </w:rPr>
        <w:t>艺德源</w:t>
      </w:r>
      <w:r>
        <w:rPr>
          <w:rFonts w:hint="eastAsia" w:asciiTheme="minorEastAsia" w:hAnsiTheme="minorEastAsia" w:eastAsiaTheme="minorEastAsia" w:cstheme="minorEastAsia"/>
          <w:color w:val="000000"/>
          <w:sz w:val="28"/>
          <w:szCs w:val="28"/>
          <w:lang w:eastAsia="zh-CN"/>
        </w:rPr>
        <w:t>也</w:t>
      </w:r>
      <w:r>
        <w:rPr>
          <w:rFonts w:hint="eastAsia" w:asciiTheme="minorEastAsia" w:hAnsiTheme="minorEastAsia" w:eastAsiaTheme="minorEastAsia" w:cstheme="minorEastAsia"/>
          <w:color w:val="000000"/>
          <w:sz w:val="28"/>
          <w:szCs w:val="28"/>
        </w:rPr>
        <w:t>于2016年第八届南京文化产业交易会上被评为“最具成长性文化企业”。</w:t>
      </w:r>
    </w:p>
    <w:p>
      <w:pPr>
        <w:rPr>
          <w:rFonts w:hint="eastAsia"/>
          <w:lang w:eastAsia="zh-CN"/>
        </w:rPr>
      </w:pPr>
    </w:p>
    <w:p>
      <w:pPr>
        <w:ind w:firstLine="960" w:firstLineChars="400"/>
        <w:rPr>
          <w:rFonts w:hint="eastAsia"/>
          <w:lang w:eastAsia="zh-CN"/>
        </w:rPr>
      </w:pPr>
      <w:r>
        <w:rPr>
          <w:rFonts w:hint="default" w:ascii="宋体" w:hAnsi="宋体" w:eastAsia="宋体"/>
          <w:b w:val="0"/>
          <w:i w:val="0"/>
          <w:snapToGrid/>
          <w:color w:val="000000"/>
          <w:sz w:val="24"/>
          <w:szCs w:val="28"/>
          <w:lang w:eastAsia="zh-CN"/>
        </w:rPr>
        <w:drawing>
          <wp:inline distT="0" distB="0" distL="114300" distR="114300">
            <wp:extent cx="4193540" cy="2795905"/>
            <wp:effectExtent l="0" t="0" r="16510" b="4445"/>
            <wp:docPr id="2" name="图片 2" descr="公司宣传首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宣传首选"/>
                    <pic:cNvPicPr>
                      <a:picLocks noChangeAspect="1"/>
                    </pic:cNvPicPr>
                  </pic:nvPicPr>
                  <pic:blipFill>
                    <a:blip r:embed="rId4"/>
                    <a:stretch>
                      <a:fillRect/>
                    </a:stretch>
                  </pic:blipFill>
                  <pic:spPr>
                    <a:xfrm>
                      <a:off x="0" y="0"/>
                      <a:ext cx="4193540" cy="2795905"/>
                    </a:xfrm>
                    <a:prstGeom prst="rect">
                      <a:avLst/>
                    </a:prstGeom>
                    <a:noFill/>
                    <a:ln w="9525">
                      <a:noFill/>
                    </a:ln>
                  </pic:spPr>
                </pic:pic>
              </a:graphicData>
            </a:graphic>
          </wp:inline>
        </w:drawing>
      </w:r>
    </w:p>
    <w:p>
      <w:pPr>
        <w:rPr>
          <w:rFonts w:hint="eastAsia"/>
          <w:lang w:eastAsia="zh-CN"/>
        </w:rPr>
      </w:pP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艺德源公司总部位于中国南京，在中国上海设有分公司</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2013年</w:t>
      </w:r>
      <w:r>
        <w:rPr>
          <w:rFonts w:hint="eastAsia" w:asciiTheme="minorEastAsia" w:hAnsiTheme="minorEastAsia" w:eastAsiaTheme="minorEastAsia" w:cstheme="minorEastAsia"/>
          <w:sz w:val="28"/>
          <w:szCs w:val="28"/>
          <w:lang w:val="en-US" w:eastAsia="zh-CN"/>
        </w:rPr>
        <w:t>在</w:t>
      </w:r>
      <w:r>
        <w:rPr>
          <w:rFonts w:hint="eastAsia" w:asciiTheme="minorEastAsia" w:hAnsiTheme="minorEastAsia" w:eastAsiaTheme="minorEastAsia" w:cstheme="minorEastAsia"/>
          <w:sz w:val="28"/>
          <w:szCs w:val="28"/>
        </w:rPr>
        <w:t>新加坡也正式成立分公司。业务包括：游戏原画设定（角色/场景/道具）、UI设计、CG商业插画、Matte painting以及脚本设计。自2012年成立以来，在创始团队的努力下，已经形成一套完善的设计制作体系，专业的美术设计团队，不仅能够深刻理解客户对游戏开发的设计需求，也形成了深厚项目管理能力，以及对于游戏美术独特的艺术敏锐力。</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艺德源公司已经为多家全球Facebook排名前十位的顶级游戏公司和国内知名动漫游戏品牌公司提供</w:t>
      </w:r>
      <w:r>
        <w:rPr>
          <w:rFonts w:hint="eastAsia" w:asciiTheme="minorEastAsia" w:hAnsiTheme="minorEastAsia" w:cstheme="minorEastAsia"/>
          <w:sz w:val="28"/>
          <w:szCs w:val="28"/>
          <w:lang w:eastAsia="zh-CN"/>
        </w:rPr>
        <w:t>美术</w:t>
      </w:r>
      <w:r>
        <w:rPr>
          <w:rFonts w:hint="eastAsia" w:asciiTheme="minorEastAsia" w:hAnsiTheme="minorEastAsia" w:eastAsiaTheme="minorEastAsia" w:cstheme="minorEastAsia"/>
          <w:sz w:val="28"/>
          <w:szCs w:val="28"/>
        </w:rPr>
        <w:t>设计服务，我们的全球客户有：</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美  国： Zynga、Glu Mobile、Storm 8 （皆为Facebook排名前十位公司）PlayNext、MobilityWare</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德  国： Aeria Eu（隶属于德国最大的传媒PSG集团）</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加拿大： Roadhouse</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俄罗斯： Mail.ru （俄罗斯最大网络公司）</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日  本： Sega、Ateam</w:t>
      </w:r>
    </w:p>
    <w:p>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中  国：腾讯、网易、搜狐畅游、昆仑在线、CCTV、江苏卫视等</w:t>
      </w:r>
      <w:r>
        <w:rPr>
          <w:rFonts w:hint="eastAsia" w:asciiTheme="minorEastAsia" w:hAnsiTheme="minorEastAsia" w:eastAsiaTheme="minorEastAsia" w:cstheme="minorEastAsia"/>
          <w:sz w:val="28"/>
          <w:szCs w:val="28"/>
          <w:lang w:eastAsia="zh-CN"/>
        </w:rPr>
        <w:drawing>
          <wp:anchor distT="0" distB="0" distL="114300" distR="114300" simplePos="0" relativeHeight="251660288" behindDoc="1" locked="0" layoutInCell="1" allowOverlap="1">
            <wp:simplePos x="0" y="0"/>
            <wp:positionH relativeFrom="column">
              <wp:posOffset>-88900</wp:posOffset>
            </wp:positionH>
            <wp:positionV relativeFrom="paragraph">
              <wp:posOffset>62865</wp:posOffset>
            </wp:positionV>
            <wp:extent cx="5268595" cy="1744345"/>
            <wp:effectExtent l="0" t="0" r="8255" b="0"/>
            <wp:wrapTight wrapText="bothSides">
              <wp:wrapPolygon>
                <wp:start x="0" y="0"/>
                <wp:lineTo x="0" y="21466"/>
                <wp:lineTo x="21556" y="21466"/>
                <wp:lineTo x="21556" y="0"/>
                <wp:lineTo x="0" y="0"/>
              </wp:wrapPolygon>
            </wp:wrapTight>
            <wp:docPr id="6" name="图片 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1"/>
                    <pic:cNvPicPr>
                      <a:picLocks noChangeAspect="1"/>
                    </pic:cNvPicPr>
                  </pic:nvPicPr>
                  <pic:blipFill>
                    <a:blip r:embed="rId5"/>
                    <a:stretch>
                      <a:fillRect/>
                    </a:stretch>
                  </pic:blipFill>
                  <pic:spPr>
                    <a:xfrm>
                      <a:off x="0" y="0"/>
                      <a:ext cx="5268595" cy="1744345"/>
                    </a:xfrm>
                    <a:prstGeom prst="rect">
                      <a:avLst/>
                    </a:prstGeom>
                  </pic:spPr>
                </pic:pic>
              </a:graphicData>
            </a:graphic>
          </wp:anchor>
        </w:drawing>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艺德源公司已经成为中国发展</w:t>
      </w:r>
      <w:r>
        <w:rPr>
          <w:rFonts w:hint="eastAsia" w:asciiTheme="minorEastAsia" w:hAnsiTheme="minorEastAsia" w:eastAsiaTheme="minorEastAsia" w:cstheme="minorEastAsia"/>
          <w:sz w:val="28"/>
          <w:szCs w:val="28"/>
          <w:lang w:eastAsia="zh-CN"/>
        </w:rPr>
        <w:t>最快</w:t>
      </w:r>
      <w:r>
        <w:rPr>
          <w:rFonts w:hint="eastAsia" w:asciiTheme="minorEastAsia" w:hAnsiTheme="minorEastAsia" w:eastAsiaTheme="minorEastAsia" w:cstheme="minorEastAsia"/>
          <w:sz w:val="28"/>
          <w:szCs w:val="28"/>
        </w:rPr>
        <w:t>的，集游戏、动漫和CG影视设计制作于一体的设计公司。并力求成为全球游戏开发者最好的美术设计服务供应商。</w:t>
      </w:r>
    </w:p>
    <w:p>
      <w:pPr>
        <w:ind w:firstLine="560" w:firstLineChars="200"/>
        <w:rPr>
          <w:rFonts w:hint="eastAsia" w:asciiTheme="minorEastAsia" w:hAnsiTheme="minorEastAsia" w:eastAsiaTheme="minorEastAsia" w:cstheme="minorEastAsia"/>
          <w:sz w:val="28"/>
          <w:szCs w:val="28"/>
        </w:rPr>
      </w:pPr>
    </w:p>
    <w:p>
      <w:pPr>
        <w:rPr>
          <w:b/>
          <w:bCs/>
          <w:sz w:val="28"/>
          <w:szCs w:val="28"/>
        </w:rPr>
      </w:pPr>
      <w:r>
        <w:rPr>
          <w:rFonts w:hint="eastAsia"/>
          <w:b/>
          <w:bCs/>
          <w:sz w:val="28"/>
          <w:szCs w:val="28"/>
        </w:rPr>
        <w:t>二、企业职工教育培训和资源投入</w:t>
      </w:r>
    </w:p>
    <w:p>
      <w:pPr>
        <w:ind w:firstLine="560" w:firstLineChars="200"/>
        <w:rPr>
          <w:rFonts w:hint="eastAsia" w:asciiTheme="minorEastAsia" w:hAnsiTheme="minorEastAsia" w:eastAsiaTheme="minorEastAsia" w:cstheme="minorEastAsia"/>
          <w:sz w:val="28"/>
          <w:szCs w:val="28"/>
        </w:rPr>
      </w:pPr>
      <w:r>
        <w:rPr>
          <w:rFonts w:hint="eastAsia"/>
          <w:sz w:val="28"/>
          <w:szCs w:val="28"/>
        </w:rPr>
        <w:t>艺德源公司</w:t>
      </w:r>
      <w:r>
        <w:rPr>
          <w:rFonts w:hint="eastAsia" w:asciiTheme="minorEastAsia" w:hAnsiTheme="minorEastAsia" w:eastAsiaTheme="minorEastAsia" w:cstheme="minorEastAsia"/>
          <w:sz w:val="28"/>
          <w:szCs w:val="28"/>
        </w:rPr>
        <w:t>负责职工岗位技能培训工作常设的培训机构为人力资源部。人力资源部定期根据公司员工技能等级、项目制作难点与攻关需求安排总公司与分公司设计部门的设计技能内训。公司高度重视职工内训工作，持续推进公司员工岗位内训提升和职业发展培训的同时，积极开拓、紧跟市场需求，多方引进国内外先进的设计理念和技能，力求员工工作技能全面发展。</w:t>
      </w:r>
    </w:p>
    <w:p>
      <w:pPr>
        <w:ind w:firstLine="560" w:firstLineChars="200"/>
        <w:rPr>
          <w:rFonts w:hint="eastAsia" w:asciiTheme="minorEastAsia" w:hAnsiTheme="minorEastAsia" w:eastAsiaTheme="minorEastAsia" w:cstheme="minorEastAsia"/>
          <w:color w:val="000000"/>
          <w:sz w:val="21"/>
          <w:szCs w:val="21"/>
          <w:lang w:eastAsia="zh-CN"/>
        </w:rPr>
      </w:pPr>
      <w:r>
        <w:rPr>
          <w:rFonts w:hint="eastAsia"/>
          <w:sz w:val="28"/>
          <w:szCs w:val="28"/>
        </w:rPr>
        <w:t>艺德源公司</w:t>
      </w:r>
      <w:r>
        <w:rPr>
          <w:rFonts w:hint="eastAsia" w:asciiTheme="minorEastAsia" w:hAnsiTheme="minorEastAsia" w:cstheme="minorEastAsia"/>
          <w:color w:val="000000"/>
          <w:sz w:val="28"/>
          <w:szCs w:val="28"/>
          <w:lang w:eastAsia="zh-CN"/>
        </w:rPr>
        <w:t>也</w:t>
      </w:r>
      <w:r>
        <w:rPr>
          <w:rFonts w:hint="eastAsia" w:asciiTheme="minorEastAsia" w:hAnsiTheme="minorEastAsia" w:eastAsiaTheme="minorEastAsia" w:cstheme="minorEastAsia"/>
          <w:color w:val="000000"/>
          <w:sz w:val="28"/>
          <w:szCs w:val="28"/>
        </w:rPr>
        <w:t>是省内最早开展电脑美术人才培训的基地。现为南京艺术学院传媒学院和南京晓庄学院美术学院等全国数十所高校艺术教学实践合作基地，每年在高校开展数字艺术巡回讲座近百场，参与的艺术类学生近万</w:t>
      </w:r>
      <w:r>
        <w:rPr>
          <w:rFonts w:hint="eastAsia" w:asciiTheme="minorEastAsia" w:hAnsiTheme="minorEastAsia" w:eastAsiaTheme="minorEastAsia" w:cstheme="minorEastAsia"/>
          <w:color w:val="000000"/>
          <w:sz w:val="28"/>
          <w:szCs w:val="28"/>
          <w:lang w:eastAsia="zh-CN"/>
        </w:rPr>
        <w:t>。</w:t>
      </w:r>
    </w:p>
    <w:p>
      <w:pPr>
        <w:rPr>
          <w:sz w:val="28"/>
          <w:szCs w:val="28"/>
        </w:rPr>
      </w:pPr>
      <w:r>
        <w:rPr>
          <w:rFonts w:hint="eastAsia" w:asciiTheme="minorEastAsia" w:hAnsiTheme="minorEastAsia" w:eastAsiaTheme="minorEastAsia" w:cstheme="minorEastAsia"/>
          <w:color w:val="000000"/>
          <w:sz w:val="21"/>
          <w:szCs w:val="21"/>
          <w:lang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24765</wp:posOffset>
            </wp:positionV>
            <wp:extent cx="5200650" cy="2000250"/>
            <wp:effectExtent l="0" t="0" r="0" b="0"/>
            <wp:wrapTight wrapText="bothSides">
              <wp:wrapPolygon>
                <wp:start x="0" y="0"/>
                <wp:lineTo x="0" y="21394"/>
                <wp:lineTo x="21521" y="21394"/>
                <wp:lineTo x="21521" y="0"/>
                <wp:lineTo x="0" y="0"/>
              </wp:wrapPolygon>
            </wp:wrapTight>
            <wp:docPr id="1" name="图片 1" descr="IMG_20160107_152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60107_1522062"/>
                    <pic:cNvPicPr>
                      <a:picLocks noChangeAspect="1"/>
                    </pic:cNvPicPr>
                  </pic:nvPicPr>
                  <pic:blipFill>
                    <a:blip r:embed="rId6"/>
                    <a:stretch>
                      <a:fillRect/>
                    </a:stretch>
                  </pic:blipFill>
                  <pic:spPr>
                    <a:xfrm>
                      <a:off x="0" y="0"/>
                      <a:ext cx="5200650" cy="2000250"/>
                    </a:xfrm>
                    <a:prstGeom prst="rect">
                      <a:avLst/>
                    </a:prstGeom>
                  </pic:spPr>
                </pic:pic>
              </a:graphicData>
            </a:graphic>
          </wp:anchor>
        </w:drawing>
      </w:r>
      <w:r>
        <w:rPr>
          <w:rFonts w:hint="eastAsia"/>
          <w:b/>
          <w:bCs/>
          <w:sz w:val="28"/>
          <w:szCs w:val="28"/>
        </w:rPr>
        <w:t>三、积极推进校企合作</w:t>
      </w:r>
      <w:r>
        <w:rPr>
          <w:rFonts w:hint="eastAsia"/>
          <w:sz w:val="28"/>
          <w:szCs w:val="28"/>
        </w:rPr>
        <w:t xml:space="preserve">  </w:t>
      </w: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1.设立学生实习和企业实践岗位</w:t>
      </w:r>
    </w:p>
    <w:p>
      <w:pPr>
        <w:ind w:firstLine="56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8"/>
          <w:szCs w:val="28"/>
        </w:rPr>
        <w:t>艺德源公司自成立以来,在满足市场需求的同时，积极探索校企合作，为国内游戏动漫设计领域挖掘专业人才。2012年以来，南京艺德源动漫制作有限公司与常州艺术高等职业学校共建学生培训和发展的机制，面向常州艺术高等职业学校师生提供数字艺术绘画技能企业实训的机会与平台。</w:t>
      </w:r>
    </w:p>
    <w:p>
      <w:pPr>
        <w:rPr>
          <w:rFonts w:hint="eastAsia" w:asciiTheme="minorEastAsia" w:hAnsiTheme="minorEastAsia" w:eastAsiaTheme="minorEastAsia" w:cstheme="minorEastAsia"/>
          <w:sz w:val="24"/>
          <w:szCs w:val="24"/>
        </w:rPr>
      </w:pPr>
      <w:bookmarkStart w:id="0" w:name="_GoBack"/>
      <w:r>
        <w:rPr>
          <w:rFonts w:hint="eastAsia" w:asciiTheme="minorEastAsia" w:hAnsiTheme="minorEastAsia" w:eastAsiaTheme="minorEastAsia" w:cstheme="minorEastAsia"/>
          <w:sz w:val="24"/>
          <w:szCs w:val="24"/>
          <w:lang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116205</wp:posOffset>
            </wp:positionV>
            <wp:extent cx="5266690" cy="1995805"/>
            <wp:effectExtent l="0" t="0" r="10160" b="4445"/>
            <wp:wrapTight wrapText="bothSides">
              <wp:wrapPolygon>
                <wp:start x="0" y="0"/>
                <wp:lineTo x="0" y="21442"/>
                <wp:lineTo x="21485" y="21442"/>
                <wp:lineTo x="21485" y="0"/>
                <wp:lineTo x="0" y="0"/>
              </wp:wrapPolygon>
            </wp:wrapTight>
            <wp:docPr id="5" name="图片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
                    <pic:cNvPicPr>
                      <a:picLocks noChangeAspect="1"/>
                    </pic:cNvPicPr>
                  </pic:nvPicPr>
                  <pic:blipFill>
                    <a:blip r:embed="rId7"/>
                    <a:stretch>
                      <a:fillRect/>
                    </a:stretch>
                  </pic:blipFill>
                  <pic:spPr>
                    <a:xfrm>
                      <a:off x="0" y="0"/>
                      <a:ext cx="5266690" cy="1995805"/>
                    </a:xfrm>
                    <a:prstGeom prst="rect">
                      <a:avLst/>
                    </a:prstGeom>
                  </pic:spPr>
                </pic:pic>
              </a:graphicData>
            </a:graphic>
          </wp:anchor>
        </w:drawing>
      </w:r>
      <w:bookmarkEnd w:id="0"/>
    </w:p>
    <w:p>
      <w:pPr>
        <w:numPr>
          <w:ilvl w:val="0"/>
          <w:numId w:val="1"/>
        </w:numPr>
        <w:rPr>
          <w:rFonts w:hint="eastAsia"/>
          <w:b/>
          <w:bCs/>
          <w:sz w:val="28"/>
          <w:szCs w:val="28"/>
        </w:rPr>
      </w:pPr>
      <w:r>
        <w:rPr>
          <w:rFonts w:hint="eastAsia"/>
          <w:b/>
          <w:bCs/>
          <w:sz w:val="28"/>
          <w:szCs w:val="28"/>
        </w:rPr>
        <w:t>持续推进校企共建冠名班建设</w:t>
      </w:r>
    </w:p>
    <w:p>
      <w:pPr>
        <w:numPr>
          <w:ilvl w:val="0"/>
          <w:numId w:val="0"/>
        </w:numPr>
        <w:ind w:firstLine="560" w:firstLineChars="200"/>
        <w:rPr>
          <w:rFonts w:hint="eastAsia"/>
        </w:rPr>
      </w:pPr>
      <w:r>
        <w:rPr>
          <w:rFonts w:hint="eastAsia"/>
          <w:sz w:val="28"/>
          <w:szCs w:val="28"/>
        </w:rPr>
        <w:t>随着动漫游戏市场需求的不断壮大，公司逐渐意识到培育专业性强，技能全面发展数字艺术人才的重要性。企业的进步，需要人才的流动和新鲜血液的不断补充，校企合作则是满足这种需求的一大战略性举措。怀着培育数字艺术专业人才的理念，艺德源公司和常艺合作成立了“艺德源数字艺术实训工作室”冠名班。公司加大投入，为学校专业课程提供专业的教学设备，希望通过冠名班的设立，可以真正发挥企业、学校双方的优势，在完成五年教学任务的前提下，为学生营造真实的工作氛围和企业环境，使学生的实习课程能在真实的工作场景中以真实的身份去体验原画设计公司工作的真谛，帮助他们提升职业技能，早日适应工作节奏。合作以来，先后培养专业类学生</w:t>
      </w:r>
      <w:r>
        <w:rPr>
          <w:rFonts w:hint="eastAsia"/>
          <w:sz w:val="28"/>
          <w:szCs w:val="28"/>
          <w:lang w:val="en-US" w:eastAsia="zh-CN"/>
        </w:rPr>
        <w:t>百余</w:t>
      </w:r>
      <w:r>
        <w:rPr>
          <w:rFonts w:hint="eastAsia"/>
          <w:sz w:val="28"/>
          <w:szCs w:val="28"/>
        </w:rPr>
        <w:t>人，</w:t>
      </w:r>
      <w:r>
        <w:rPr>
          <w:rFonts w:hint="eastAsia"/>
          <w:sz w:val="28"/>
          <w:szCs w:val="28"/>
          <w:lang w:eastAsia="zh-CN"/>
        </w:rPr>
        <w:t>还</w:t>
      </w:r>
      <w:r>
        <w:rPr>
          <w:rFonts w:hint="eastAsia"/>
          <w:sz w:val="28"/>
          <w:szCs w:val="28"/>
        </w:rPr>
        <w:t>提供教师实践岗位。</w:t>
      </w:r>
    </w:p>
    <w:p>
      <w:pPr>
        <w:ind w:firstLine="560" w:firstLineChars="200"/>
        <w:rPr>
          <w:rFonts w:hint="eastAsia"/>
          <w:sz w:val="28"/>
          <w:szCs w:val="28"/>
        </w:rPr>
      </w:pPr>
      <w:r>
        <w:rPr>
          <w:rFonts w:hint="eastAsia"/>
          <w:sz w:val="28"/>
          <w:szCs w:val="28"/>
        </w:rPr>
        <w:t>艺德源公司和学校借助工学结合的灵活模式，通过课堂教育和基地实训的有机结合，让学生参与到位于南京的艺德源总公司的校外课堂的实践中，通过在公司的直接实习，接触真正的项目制作，接纳到公司员工的团队中一起生活与工作，使公司真正成为常州艺术高等职业学校学生的技能提升的实践基地。</w:t>
      </w:r>
    </w:p>
    <w:p>
      <w:pPr>
        <w:ind w:firstLine="420" w:firstLineChars="200"/>
        <w:rPr>
          <w:rFonts w:hint="eastAsia"/>
          <w:sz w:val="28"/>
          <w:szCs w:val="28"/>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17780</wp:posOffset>
            </wp:positionH>
            <wp:positionV relativeFrom="paragraph">
              <wp:posOffset>96520</wp:posOffset>
            </wp:positionV>
            <wp:extent cx="5269865" cy="1325880"/>
            <wp:effectExtent l="0" t="0" r="6985" b="7620"/>
            <wp:wrapTight wrapText="bothSides">
              <wp:wrapPolygon>
                <wp:start x="0" y="0"/>
                <wp:lineTo x="0" y="21414"/>
                <wp:lineTo x="21551" y="21414"/>
                <wp:lineTo x="21551" y="0"/>
                <wp:lineTo x="0" y="0"/>
              </wp:wrapPolygon>
            </wp:wrapTight>
            <wp:docPr id="4"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
                    <pic:cNvPicPr>
                      <a:picLocks noChangeAspect="1"/>
                    </pic:cNvPicPr>
                  </pic:nvPicPr>
                  <pic:blipFill>
                    <a:blip r:embed="rId8"/>
                    <a:stretch>
                      <a:fillRect/>
                    </a:stretch>
                  </pic:blipFill>
                  <pic:spPr>
                    <a:xfrm>
                      <a:off x="0" y="0"/>
                      <a:ext cx="5269865" cy="1325880"/>
                    </a:xfrm>
                    <a:prstGeom prst="rect">
                      <a:avLst/>
                    </a:prstGeom>
                  </pic:spPr>
                </pic:pic>
              </a:graphicData>
            </a:graphic>
          </wp:anchor>
        </w:drawing>
      </w:r>
      <w:r>
        <w:rPr>
          <w:rFonts w:hint="eastAsia"/>
          <w:sz w:val="28"/>
          <w:szCs w:val="28"/>
        </w:rPr>
        <w:t>南京艺德源动漫制作有限公司和常州艺术高等职业学校的校企合作正在稳步进行，我们共同努力为学生打造一个接地气，有价值的数字艺术职业教育，不断为校、企、生三赢开拓美好的明天。</w:t>
      </w:r>
    </w:p>
    <w:p>
      <w:pPr>
        <w:ind w:firstLine="560" w:firstLineChars="200"/>
        <w:rPr>
          <w:rFonts w:hint="eastAsia"/>
          <w:sz w:val="28"/>
          <w:szCs w:val="28"/>
        </w:rPr>
      </w:pPr>
    </w:p>
    <w:p>
      <w:pPr>
        <w:ind w:firstLine="560" w:firstLineChars="200"/>
        <w:rPr>
          <w:rFonts w:hint="eastAsia"/>
          <w:sz w:val="28"/>
          <w:szCs w:val="28"/>
        </w:rPr>
      </w:pPr>
    </w:p>
    <w:p>
      <w:pPr>
        <w:ind w:firstLine="560" w:firstLineChars="200"/>
        <w:rPr>
          <w:rFonts w:hint="eastAsia"/>
          <w:sz w:val="28"/>
          <w:szCs w:val="28"/>
        </w:rPr>
      </w:pPr>
    </w:p>
    <w:p>
      <w:pPr>
        <w:ind w:firstLine="560" w:firstLineChars="200"/>
        <w:rPr>
          <w:rFonts w:hint="eastAsia"/>
          <w:sz w:val="28"/>
          <w:szCs w:val="28"/>
        </w:rPr>
      </w:pPr>
    </w:p>
    <w:p>
      <w:pPr>
        <w:ind w:firstLine="560" w:firstLineChars="200"/>
        <w:rPr>
          <w:rFonts w:hint="eastAsia"/>
          <w:sz w:val="28"/>
          <w:szCs w:val="28"/>
        </w:rPr>
      </w:pPr>
    </w:p>
    <w:p>
      <w:pPr>
        <w:ind w:firstLine="560" w:firstLineChars="200"/>
        <w:rPr>
          <w:rFonts w:hint="eastAsia"/>
          <w:sz w:val="28"/>
          <w:szCs w:val="28"/>
        </w:rPr>
      </w:pPr>
    </w:p>
    <w:p>
      <w:pPr>
        <w:rPr>
          <w:rFonts w:hint="eastAsia" w:asciiTheme="minorEastAsia" w:hAnsiTheme="minorEastAsia" w:eastAsiaTheme="minorEastAsia" w:cstheme="minorEastAsia"/>
          <w:sz w:val="28"/>
          <w:szCs w:val="28"/>
        </w:rPr>
      </w:pPr>
      <w:r>
        <w:rPr>
          <w:rFonts w:hint="eastAsia"/>
          <w:sz w:val="28"/>
          <w:szCs w:val="28"/>
        </w:rPr>
        <w:t xml:space="preserve">                    </w:t>
      </w:r>
      <w:r>
        <w:rPr>
          <w:rFonts w:hint="eastAsia"/>
          <w:sz w:val="28"/>
          <w:szCs w:val="28"/>
          <w:lang w:val="en-US" w:eastAsia="zh-CN"/>
        </w:rPr>
        <w:t xml:space="preserve">             </w:t>
      </w:r>
      <w:r>
        <w:rPr>
          <w:rFonts w:hint="eastAsia" w:asciiTheme="minorEastAsia" w:hAnsiTheme="minorEastAsia" w:eastAsiaTheme="minorEastAsia" w:cstheme="minorEastAsia"/>
          <w:sz w:val="28"/>
          <w:szCs w:val="28"/>
        </w:rPr>
        <w:t>南京艺德源动漫制作有限公司</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201</w:t>
      </w:r>
      <w:r>
        <w:rPr>
          <w:rFonts w:hint="eastAsia" w:asciiTheme="minorEastAsia" w:hAnsiTheme="minorEastAsia" w:eastAsiaTheme="minorEastAsia" w:cstheme="minorEastAsia"/>
          <w:sz w:val="28"/>
          <w:szCs w:val="28"/>
          <w:lang w:val="en-US" w:eastAsia="zh-CN"/>
        </w:rPr>
        <w:t>7</w:t>
      </w:r>
      <w:r>
        <w:rPr>
          <w:rFonts w:hint="eastAsia" w:asciiTheme="minorEastAsia" w:hAnsiTheme="minorEastAsia" w:eastAsiaTheme="minorEastAsia" w:cstheme="minorEastAsia"/>
          <w:sz w:val="28"/>
          <w:szCs w:val="28"/>
        </w:rPr>
        <w:t>年11月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小标宋">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创艺繁楷体">
    <w:panose1 w:val="00000000000000000000"/>
    <w:charset w:val="00"/>
    <w:family w:val="auto"/>
    <w:pitch w:val="default"/>
    <w:sig w:usb0="00000000" w:usb1="00000000" w:usb2="00000000" w:usb3="00000000" w:csb0="00000000" w:csb1="00000000"/>
  </w:font>
  <w:font w:name="创艺繁标宋">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EBF57"/>
    <w:multiLevelType w:val="singleLevel"/>
    <w:tmpl w:val="5A0EBF57"/>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34757"/>
    <w:rsid w:val="00012024"/>
    <w:rsid w:val="000C14F6"/>
    <w:rsid w:val="001140F5"/>
    <w:rsid w:val="00127952"/>
    <w:rsid w:val="0019180A"/>
    <w:rsid w:val="001A38DF"/>
    <w:rsid w:val="00230857"/>
    <w:rsid w:val="002423C6"/>
    <w:rsid w:val="00244989"/>
    <w:rsid w:val="00351DAC"/>
    <w:rsid w:val="003A62E6"/>
    <w:rsid w:val="00420A82"/>
    <w:rsid w:val="004212F3"/>
    <w:rsid w:val="00475169"/>
    <w:rsid w:val="004A2407"/>
    <w:rsid w:val="00534757"/>
    <w:rsid w:val="0054442E"/>
    <w:rsid w:val="006D1EAB"/>
    <w:rsid w:val="006D63C2"/>
    <w:rsid w:val="006E15ED"/>
    <w:rsid w:val="00702914"/>
    <w:rsid w:val="00710465"/>
    <w:rsid w:val="00717626"/>
    <w:rsid w:val="00806743"/>
    <w:rsid w:val="00845FA4"/>
    <w:rsid w:val="008E6FC2"/>
    <w:rsid w:val="0091789F"/>
    <w:rsid w:val="00950466"/>
    <w:rsid w:val="009C4BF4"/>
    <w:rsid w:val="009C6BC6"/>
    <w:rsid w:val="009D0FE5"/>
    <w:rsid w:val="00A4760A"/>
    <w:rsid w:val="00AE3E6A"/>
    <w:rsid w:val="00B159BD"/>
    <w:rsid w:val="00B52031"/>
    <w:rsid w:val="00D77908"/>
    <w:rsid w:val="00E228BE"/>
    <w:rsid w:val="00E73C42"/>
    <w:rsid w:val="00E938CF"/>
    <w:rsid w:val="00EA5B06"/>
    <w:rsid w:val="00ED22EE"/>
    <w:rsid w:val="00FF404A"/>
    <w:rsid w:val="08FE41CD"/>
    <w:rsid w:val="0A03742F"/>
    <w:rsid w:val="215C70EC"/>
    <w:rsid w:val="2792332F"/>
    <w:rsid w:val="4AFC4F37"/>
    <w:rsid w:val="4FB429EE"/>
    <w:rsid w:val="591F1D47"/>
    <w:rsid w:val="59A65C3E"/>
    <w:rsid w:val="6D8B3983"/>
    <w:rsid w:val="7EB91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uiPriority w:val="99"/>
    <w:rPr>
      <w:sz w:val="18"/>
      <w:szCs w:val="18"/>
    </w:rPr>
  </w:style>
  <w:style w:type="character" w:customStyle="1" w:styleId="8">
    <w:name w:val="页脚 Char"/>
    <w:basedOn w:val="5"/>
    <w:link w:val="3"/>
    <w:semiHidden/>
    <w:qFormat/>
    <w:uiPriority w:val="99"/>
    <w:rPr>
      <w:sz w:val="18"/>
      <w:szCs w:val="18"/>
    </w:rPr>
  </w:style>
  <w:style w:type="paragraph" w:customStyle="1" w:styleId="9">
    <w:name w:val="列出段落1"/>
    <w:basedOn w:val="1"/>
    <w:qFormat/>
    <w:uiPriority w:val="34"/>
    <w:pPr>
      <w:ind w:firstLine="420" w:firstLineChars="200"/>
    </w:pPr>
  </w:style>
  <w:style w:type="character" w:customStyle="1" w:styleId="10">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http://www.windows89.com</Company>
  <Pages>3</Pages>
  <Words>244</Words>
  <Characters>1396</Characters>
  <Lines>11</Lines>
  <Paragraphs>3</Paragraphs>
  <ScaleCrop>false</ScaleCrop>
  <LinksUpToDate>false</LinksUpToDate>
  <CharactersWithSpaces>1637</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2015-11-19T08:27:00Z</dcterms:created>
  <dc:creator>深度技术</dc:creator>
  <cp:lastModifiedBy>Administrator</cp:lastModifiedBy>
  <dcterms:modified xsi:type="dcterms:W3CDTF">2017-11-20T03:23:58Z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